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CDC" w:rsidRPr="00DA51DB" w:rsidRDefault="00537896" w:rsidP="00DA51DB">
      <w:pPr>
        <w:ind w:left="-284" w:right="-33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Opportunity for </w:t>
      </w:r>
      <w:r w:rsidR="009D41E9" w:rsidRPr="00DA51DB">
        <w:rPr>
          <w:rFonts w:ascii="Arial" w:hAnsi="Arial" w:cs="Arial"/>
          <w:b/>
          <w:sz w:val="24"/>
        </w:rPr>
        <w:t>Stallholders</w:t>
      </w:r>
      <w:r w:rsidR="006F6E68">
        <w:rPr>
          <w:rFonts w:ascii="Arial" w:hAnsi="Arial" w:cs="Arial"/>
          <w:b/>
          <w:sz w:val="24"/>
        </w:rPr>
        <w:t xml:space="preserve"> and Banner </w:t>
      </w:r>
      <w:r>
        <w:rPr>
          <w:rFonts w:ascii="Arial" w:hAnsi="Arial" w:cs="Arial"/>
          <w:b/>
          <w:sz w:val="24"/>
        </w:rPr>
        <w:t>D</w:t>
      </w:r>
      <w:r w:rsidR="006F6E68">
        <w:rPr>
          <w:rFonts w:ascii="Arial" w:hAnsi="Arial" w:cs="Arial"/>
          <w:b/>
          <w:sz w:val="24"/>
        </w:rPr>
        <w:t xml:space="preserve">isplays </w:t>
      </w:r>
    </w:p>
    <w:p w:rsidR="00A12E86" w:rsidRPr="00DA51DB" w:rsidRDefault="00305FFD" w:rsidP="00DA51DB">
      <w:pPr>
        <w:autoSpaceDE w:val="0"/>
        <w:autoSpaceDN w:val="0"/>
        <w:adjustRightInd w:val="0"/>
        <w:spacing w:line="240" w:lineRule="auto"/>
        <w:ind w:left="-284" w:right="-330"/>
        <w:jc w:val="both"/>
        <w:rPr>
          <w:rFonts w:ascii="Arial" w:hAnsi="Arial" w:cs="Arial"/>
        </w:rPr>
      </w:pPr>
      <w:r w:rsidRPr="00DA51DB">
        <w:rPr>
          <w:rFonts w:ascii="Arial" w:hAnsi="Arial" w:cs="Arial"/>
        </w:rPr>
        <w:t xml:space="preserve">WANADA </w:t>
      </w:r>
      <w:r w:rsidR="00E612CA" w:rsidRPr="00DA51DB">
        <w:rPr>
          <w:rFonts w:ascii="Arial" w:hAnsi="Arial" w:cs="Arial"/>
        </w:rPr>
        <w:t>warmly</w:t>
      </w:r>
      <w:r w:rsidRPr="00DA51DB">
        <w:rPr>
          <w:rFonts w:ascii="Arial" w:hAnsi="Arial" w:cs="Arial"/>
        </w:rPr>
        <w:t xml:space="preserve"> invites you to be involved in </w:t>
      </w:r>
      <w:r w:rsidR="00E612CA" w:rsidRPr="00DA51DB">
        <w:rPr>
          <w:rFonts w:ascii="Arial" w:hAnsi="Arial" w:cs="Arial"/>
        </w:rPr>
        <w:t xml:space="preserve">the </w:t>
      </w:r>
      <w:r w:rsidR="00E612CA" w:rsidRPr="00DA51DB">
        <w:rPr>
          <w:rFonts w:ascii="Arial" w:hAnsi="Arial" w:cs="Arial"/>
          <w:b/>
        </w:rPr>
        <w:t>2019 Western Australian Aboriginal Alcohol and other Drug Workers Forum</w:t>
      </w:r>
      <w:r w:rsidR="006F6E68">
        <w:rPr>
          <w:rFonts w:ascii="Arial" w:hAnsi="Arial" w:cs="Arial"/>
        </w:rPr>
        <w:t xml:space="preserve">. </w:t>
      </w:r>
      <w:r w:rsidR="00E612CA" w:rsidRPr="00DA51DB">
        <w:rPr>
          <w:rFonts w:ascii="Arial" w:hAnsi="Arial" w:cs="Arial"/>
        </w:rPr>
        <w:t>The Forum</w:t>
      </w:r>
      <w:r w:rsidR="006F6E68">
        <w:rPr>
          <w:rFonts w:ascii="Arial" w:hAnsi="Arial" w:cs="Arial"/>
        </w:rPr>
        <w:t xml:space="preserve"> </w:t>
      </w:r>
      <w:r w:rsidR="006F6E68" w:rsidRPr="00DA51DB">
        <w:rPr>
          <w:rFonts w:ascii="Arial" w:hAnsi="Arial" w:cs="Arial"/>
        </w:rPr>
        <w:t>aims to strengthen and develop culturally secure approaches to addressing</w:t>
      </w:r>
      <w:r w:rsidR="006F6E68">
        <w:rPr>
          <w:rFonts w:ascii="Arial" w:hAnsi="Arial" w:cs="Arial"/>
        </w:rPr>
        <w:t xml:space="preserve"> alcohol and other drug issues. It w</w:t>
      </w:r>
      <w:r w:rsidR="00E612CA" w:rsidRPr="00DA51DB">
        <w:rPr>
          <w:rFonts w:ascii="Arial" w:hAnsi="Arial" w:cs="Arial"/>
        </w:rPr>
        <w:t xml:space="preserve">ill be held conjointly with the </w:t>
      </w:r>
      <w:r w:rsidR="002815FC">
        <w:rPr>
          <w:rFonts w:ascii="Arial" w:hAnsi="Arial" w:cs="Arial"/>
        </w:rPr>
        <w:t xml:space="preserve">2019 </w:t>
      </w:r>
      <w:r w:rsidR="00E612CA" w:rsidRPr="00DA51DB">
        <w:rPr>
          <w:rFonts w:ascii="Arial" w:hAnsi="Arial" w:cs="Arial"/>
        </w:rPr>
        <w:t>Local Drug Action Groups State Conference</w:t>
      </w:r>
      <w:r w:rsidR="006F6E68">
        <w:rPr>
          <w:rFonts w:ascii="Arial" w:hAnsi="Arial" w:cs="Arial"/>
        </w:rPr>
        <w:t xml:space="preserve"> </w:t>
      </w:r>
      <w:r w:rsidR="006F6E68" w:rsidRPr="00DA51DB">
        <w:rPr>
          <w:rFonts w:ascii="Arial" w:hAnsi="Arial" w:cs="Arial"/>
        </w:rPr>
        <w:t xml:space="preserve">on </w:t>
      </w:r>
      <w:r w:rsidR="006F6E68" w:rsidRPr="00370BC2">
        <w:rPr>
          <w:rFonts w:ascii="Arial" w:hAnsi="Arial" w:cs="Arial"/>
          <w:b/>
        </w:rPr>
        <w:t>15 a</w:t>
      </w:r>
      <w:bookmarkStart w:id="0" w:name="_GoBack"/>
      <w:bookmarkEnd w:id="0"/>
      <w:r w:rsidR="006F6E68" w:rsidRPr="00370BC2">
        <w:rPr>
          <w:rFonts w:ascii="Arial" w:hAnsi="Arial" w:cs="Arial"/>
          <w:b/>
        </w:rPr>
        <w:t>nd 16 August 2019 at the Hyatt Regency Perth.</w:t>
      </w:r>
      <w:r w:rsidR="006F6E68">
        <w:rPr>
          <w:rFonts w:ascii="Arial" w:hAnsi="Arial" w:cs="Arial"/>
        </w:rPr>
        <w:t xml:space="preserve"> </w:t>
      </w:r>
    </w:p>
    <w:p w:rsidR="00D90967" w:rsidRPr="00DA51DB" w:rsidRDefault="00E612CA" w:rsidP="00370BC2">
      <w:pPr>
        <w:autoSpaceDE w:val="0"/>
        <w:autoSpaceDN w:val="0"/>
        <w:adjustRightInd w:val="0"/>
        <w:spacing w:line="240" w:lineRule="auto"/>
        <w:ind w:left="-284" w:right="-330"/>
        <w:jc w:val="both"/>
        <w:rPr>
          <w:rFonts w:ascii="Arial" w:hAnsi="Arial" w:cs="Arial"/>
        </w:rPr>
      </w:pPr>
      <w:r w:rsidRPr="00DA51DB">
        <w:rPr>
          <w:rFonts w:ascii="Arial" w:hAnsi="Arial" w:cs="Arial"/>
        </w:rPr>
        <w:t>The event brings together workers and community members to learn from and empower each other, build networks and to share and celebrate success</w:t>
      </w:r>
      <w:r w:rsidR="00D90967">
        <w:rPr>
          <w:rFonts w:ascii="Arial" w:hAnsi="Arial" w:cs="Arial"/>
        </w:rPr>
        <w:t xml:space="preserve"> stories from across the State.</w:t>
      </w:r>
    </w:p>
    <w:p w:rsidR="0068424B" w:rsidRPr="00DA51DB" w:rsidRDefault="0068424B" w:rsidP="00DA51DB">
      <w:pPr>
        <w:ind w:left="-284" w:right="-330"/>
        <w:jc w:val="both"/>
        <w:rPr>
          <w:rFonts w:ascii="Arial" w:hAnsi="Arial" w:cs="Arial"/>
          <w:u w:val="single"/>
        </w:rPr>
      </w:pPr>
      <w:r w:rsidRPr="00DA51DB">
        <w:rPr>
          <w:rFonts w:ascii="Arial" w:hAnsi="Arial" w:cs="Arial"/>
          <w:u w:val="single"/>
        </w:rPr>
        <w:t xml:space="preserve">Forum stalls are available at $100.00 </w:t>
      </w:r>
      <w:r w:rsidR="006F6E68">
        <w:rPr>
          <w:rFonts w:ascii="Arial" w:hAnsi="Arial" w:cs="Arial"/>
          <w:u w:val="single"/>
        </w:rPr>
        <w:t>each</w:t>
      </w:r>
      <w:r w:rsidRPr="00DA51DB">
        <w:rPr>
          <w:rFonts w:ascii="Arial" w:hAnsi="Arial" w:cs="Arial"/>
          <w:u w:val="single"/>
        </w:rPr>
        <w:t xml:space="preserve"> and include:</w:t>
      </w:r>
    </w:p>
    <w:p w:rsidR="0068424B" w:rsidRPr="009E6C44" w:rsidRDefault="006F6E68" w:rsidP="009E6C44">
      <w:pPr>
        <w:pStyle w:val="ListParagraph"/>
        <w:numPr>
          <w:ilvl w:val="0"/>
          <w:numId w:val="2"/>
        </w:numPr>
        <w:ind w:left="142" w:right="-330" w:hanging="426"/>
        <w:jc w:val="both"/>
        <w:rPr>
          <w:rFonts w:ascii="Arial" w:hAnsi="Arial" w:cs="Arial"/>
        </w:rPr>
      </w:pPr>
      <w:r w:rsidRPr="009E6C44">
        <w:rPr>
          <w:rFonts w:ascii="Arial" w:hAnsi="Arial" w:cs="Arial"/>
        </w:rPr>
        <w:t>Trestle table and s</w:t>
      </w:r>
      <w:r w:rsidR="009568D5" w:rsidRPr="009E6C44">
        <w:rPr>
          <w:rFonts w:ascii="Arial" w:hAnsi="Arial" w:cs="Arial"/>
        </w:rPr>
        <w:t>tall space</w:t>
      </w:r>
      <w:r w:rsidR="0068424B" w:rsidRPr="009E6C44">
        <w:rPr>
          <w:rFonts w:ascii="Arial" w:hAnsi="Arial" w:cs="Arial"/>
        </w:rPr>
        <w:t xml:space="preserve"> on Thursday 15 August, 8.00</w:t>
      </w:r>
      <w:r w:rsidR="00370BC2">
        <w:rPr>
          <w:rFonts w:ascii="Arial" w:hAnsi="Arial" w:cs="Arial"/>
        </w:rPr>
        <w:t>am</w:t>
      </w:r>
      <w:r w:rsidR="0068424B" w:rsidRPr="009E6C44">
        <w:rPr>
          <w:rFonts w:ascii="Arial" w:hAnsi="Arial" w:cs="Arial"/>
        </w:rPr>
        <w:t xml:space="preserve"> </w:t>
      </w:r>
      <w:r w:rsidR="00370BC2">
        <w:rPr>
          <w:rFonts w:ascii="Arial" w:hAnsi="Arial" w:cs="Arial"/>
        </w:rPr>
        <w:t xml:space="preserve">- </w:t>
      </w:r>
      <w:r w:rsidR="0068424B" w:rsidRPr="009E6C44">
        <w:rPr>
          <w:rFonts w:ascii="Arial" w:hAnsi="Arial" w:cs="Arial"/>
        </w:rPr>
        <w:t>5.00pm and Fr</w:t>
      </w:r>
      <w:r w:rsidR="00E04C6A" w:rsidRPr="009E6C44">
        <w:rPr>
          <w:rFonts w:ascii="Arial" w:hAnsi="Arial" w:cs="Arial"/>
        </w:rPr>
        <w:t>iday 16 August, 8.00am - 2.00pm</w:t>
      </w:r>
    </w:p>
    <w:p w:rsidR="0092463A" w:rsidRDefault="00E04C6A" w:rsidP="00D90967">
      <w:pPr>
        <w:pStyle w:val="ListParagraph"/>
        <w:numPr>
          <w:ilvl w:val="0"/>
          <w:numId w:val="2"/>
        </w:numPr>
        <w:ind w:left="142" w:right="-330" w:hanging="426"/>
        <w:jc w:val="both"/>
        <w:rPr>
          <w:rFonts w:ascii="Arial" w:hAnsi="Arial" w:cs="Arial"/>
        </w:rPr>
      </w:pPr>
      <w:r w:rsidRPr="009E6C44">
        <w:rPr>
          <w:rFonts w:ascii="Arial" w:hAnsi="Arial" w:cs="Arial"/>
        </w:rPr>
        <w:t>Power points (if required)</w:t>
      </w:r>
    </w:p>
    <w:p w:rsidR="00D90967" w:rsidRPr="00D90967" w:rsidRDefault="00D90967" w:rsidP="00D90967">
      <w:pPr>
        <w:pStyle w:val="ListParagraph"/>
        <w:ind w:left="142" w:right="-330"/>
        <w:jc w:val="both"/>
        <w:rPr>
          <w:rFonts w:ascii="Arial" w:hAnsi="Arial" w:cs="Arial"/>
          <w:sz w:val="14"/>
          <w:szCs w:val="14"/>
        </w:rPr>
      </w:pPr>
    </w:p>
    <w:p w:rsidR="00370BC2" w:rsidRDefault="00D90967" w:rsidP="00370BC2">
      <w:pPr>
        <w:pStyle w:val="ListParagraph"/>
        <w:spacing w:after="0"/>
        <w:ind w:left="-284" w:right="-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Please note: </w:t>
      </w:r>
      <w:r w:rsidR="009E6C44">
        <w:rPr>
          <w:rFonts w:ascii="Arial" w:hAnsi="Arial" w:cs="Arial"/>
        </w:rPr>
        <w:t xml:space="preserve">Stallholders must </w:t>
      </w:r>
      <w:r w:rsidR="00D60853">
        <w:rPr>
          <w:rFonts w:ascii="Arial" w:hAnsi="Arial" w:cs="Arial"/>
        </w:rPr>
        <w:t xml:space="preserve">also </w:t>
      </w:r>
      <w:r w:rsidR="009E6C44">
        <w:rPr>
          <w:rFonts w:ascii="Arial" w:hAnsi="Arial" w:cs="Arial"/>
        </w:rPr>
        <w:t>be</w:t>
      </w:r>
      <w:r w:rsidR="00370BC2">
        <w:rPr>
          <w:rFonts w:ascii="Arial" w:hAnsi="Arial" w:cs="Arial"/>
        </w:rPr>
        <w:t xml:space="preserve"> registered to attend the forum.</w:t>
      </w:r>
      <w:r w:rsidR="009E6C44">
        <w:rPr>
          <w:rFonts w:ascii="Arial" w:hAnsi="Arial" w:cs="Arial"/>
        </w:rPr>
        <w:t xml:space="preserve"> </w:t>
      </w:r>
    </w:p>
    <w:p w:rsidR="009E6C44" w:rsidRPr="00370BC2" w:rsidRDefault="00D60853" w:rsidP="00370BC2">
      <w:pPr>
        <w:spacing w:before="160"/>
        <w:ind w:left="-284" w:right="-330"/>
        <w:jc w:val="both"/>
        <w:rPr>
          <w:rFonts w:ascii="Arial" w:hAnsi="Arial" w:cs="Arial"/>
        </w:rPr>
      </w:pPr>
      <w:r>
        <w:rPr>
          <w:rFonts w:ascii="Arial" w:hAnsi="Arial" w:cs="Arial"/>
        </w:rPr>
        <w:t>Organisation banners are welcome for display at no cost</w:t>
      </w:r>
      <w:r w:rsidR="00D90967" w:rsidRPr="00370BC2">
        <w:rPr>
          <w:rFonts w:ascii="Arial" w:hAnsi="Arial" w:cs="Arial"/>
        </w:rPr>
        <w:t>. A representative</w:t>
      </w:r>
      <w:r w:rsidR="009E6C44" w:rsidRPr="00370BC2">
        <w:rPr>
          <w:rFonts w:ascii="Arial" w:hAnsi="Arial" w:cs="Arial"/>
        </w:rPr>
        <w:t xml:space="preserve"> of your organisation must </w:t>
      </w:r>
      <w:r w:rsidR="00652300">
        <w:rPr>
          <w:rFonts w:ascii="Arial" w:hAnsi="Arial" w:cs="Arial"/>
        </w:rPr>
        <w:t xml:space="preserve">be </w:t>
      </w:r>
      <w:r w:rsidR="009E6C44" w:rsidRPr="00370BC2">
        <w:rPr>
          <w:rFonts w:ascii="Arial" w:hAnsi="Arial" w:cs="Arial"/>
        </w:rPr>
        <w:t xml:space="preserve">registered </w:t>
      </w:r>
      <w:r w:rsidR="00652300">
        <w:rPr>
          <w:rFonts w:ascii="Arial" w:hAnsi="Arial" w:cs="Arial"/>
        </w:rPr>
        <w:t xml:space="preserve">for the forum </w:t>
      </w:r>
      <w:r w:rsidR="009E6C44" w:rsidRPr="00370BC2">
        <w:rPr>
          <w:rFonts w:ascii="Arial" w:hAnsi="Arial" w:cs="Arial"/>
        </w:rPr>
        <w:t xml:space="preserve">and responsible for the banner on the event days. </w:t>
      </w:r>
    </w:p>
    <w:p w:rsidR="0092463A" w:rsidRPr="00DA51DB" w:rsidRDefault="00D60853" w:rsidP="0012584F">
      <w:pPr>
        <w:ind w:left="-284" w:right="-1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Banners </w:t>
      </w:r>
      <w:r w:rsidR="00DA51DB">
        <w:rPr>
          <w:rFonts w:ascii="Arial" w:hAnsi="Arial" w:cs="Arial"/>
        </w:rPr>
        <w:t>can be delivered to the Hyatt Regenc</w:t>
      </w:r>
      <w:r w:rsidR="00652300">
        <w:rPr>
          <w:rFonts w:ascii="Arial" w:hAnsi="Arial" w:cs="Arial"/>
        </w:rPr>
        <w:t>y</w:t>
      </w:r>
      <w:r w:rsidR="00DA51DB">
        <w:rPr>
          <w:rFonts w:ascii="Arial" w:hAnsi="Arial" w:cs="Arial"/>
        </w:rPr>
        <w:t xml:space="preserve"> Perth </w:t>
      </w:r>
      <w:r>
        <w:rPr>
          <w:rFonts w:ascii="Arial" w:hAnsi="Arial" w:cs="Arial"/>
        </w:rPr>
        <w:t xml:space="preserve">between 7.00am and 4.00pm </w:t>
      </w:r>
      <w:r w:rsidR="00DA51DB">
        <w:rPr>
          <w:rFonts w:ascii="Arial" w:hAnsi="Arial" w:cs="Arial"/>
        </w:rPr>
        <w:t xml:space="preserve">up to </w:t>
      </w:r>
      <w:r w:rsidR="00652300">
        <w:rPr>
          <w:rFonts w:ascii="Arial" w:hAnsi="Arial" w:cs="Arial"/>
        </w:rPr>
        <w:t>two</w:t>
      </w:r>
      <w:r w:rsidR="00DA51DB">
        <w:rPr>
          <w:rFonts w:ascii="Arial" w:hAnsi="Arial" w:cs="Arial"/>
        </w:rPr>
        <w:t xml:space="preserve"> days prior to the event. </w:t>
      </w:r>
      <w:r w:rsidR="009E6C44">
        <w:rPr>
          <w:rFonts w:ascii="Arial" w:hAnsi="Arial" w:cs="Arial"/>
        </w:rPr>
        <w:t xml:space="preserve">Delivery labels are required. Please contact WANADA for more information. </w:t>
      </w:r>
    </w:p>
    <w:p w:rsidR="00B323BD" w:rsidRDefault="009568D5" w:rsidP="00D90967">
      <w:pPr>
        <w:ind w:left="-284" w:right="-330"/>
        <w:jc w:val="both"/>
        <w:rPr>
          <w:rFonts w:ascii="Arial" w:hAnsi="Arial" w:cs="Arial"/>
          <w:b/>
        </w:rPr>
      </w:pPr>
      <w:r w:rsidRPr="00DA51DB">
        <w:rPr>
          <w:rFonts w:ascii="Arial" w:hAnsi="Arial" w:cs="Arial"/>
          <w:b/>
        </w:rPr>
        <w:t>If you are interested in</w:t>
      </w:r>
      <w:r w:rsidR="009E6C44">
        <w:rPr>
          <w:rFonts w:ascii="Arial" w:hAnsi="Arial" w:cs="Arial"/>
          <w:b/>
        </w:rPr>
        <w:t xml:space="preserve"> displaying </w:t>
      </w:r>
      <w:r w:rsidR="00652300">
        <w:rPr>
          <w:rFonts w:ascii="Arial" w:hAnsi="Arial" w:cs="Arial"/>
          <w:b/>
        </w:rPr>
        <w:t>a</w:t>
      </w:r>
      <w:r w:rsidR="009E6C44">
        <w:rPr>
          <w:rFonts w:ascii="Arial" w:hAnsi="Arial" w:cs="Arial"/>
          <w:b/>
        </w:rPr>
        <w:t xml:space="preserve"> banner or</w:t>
      </w:r>
      <w:r w:rsidRPr="00DA51DB">
        <w:rPr>
          <w:rFonts w:ascii="Arial" w:hAnsi="Arial" w:cs="Arial"/>
          <w:b/>
        </w:rPr>
        <w:t xml:space="preserve"> </w:t>
      </w:r>
      <w:r w:rsidR="00652300">
        <w:rPr>
          <w:rFonts w:ascii="Arial" w:hAnsi="Arial" w:cs="Arial"/>
          <w:b/>
        </w:rPr>
        <w:t xml:space="preserve">hosting </w:t>
      </w:r>
      <w:r w:rsidRPr="00DA51DB">
        <w:rPr>
          <w:rFonts w:ascii="Arial" w:hAnsi="Arial" w:cs="Arial"/>
          <w:b/>
        </w:rPr>
        <w:t>a stall, please return your completed registration form by 5pm</w:t>
      </w:r>
      <w:r w:rsidR="00D40BEF">
        <w:rPr>
          <w:rFonts w:ascii="Arial" w:hAnsi="Arial" w:cs="Arial"/>
          <w:b/>
        </w:rPr>
        <w:t xml:space="preserve"> </w:t>
      </w:r>
      <w:r w:rsidR="00E73A25">
        <w:rPr>
          <w:rFonts w:ascii="Arial" w:hAnsi="Arial" w:cs="Arial"/>
          <w:b/>
        </w:rPr>
        <w:t>Sunday</w:t>
      </w:r>
      <w:r w:rsidR="00D40BEF">
        <w:rPr>
          <w:rFonts w:ascii="Arial" w:hAnsi="Arial" w:cs="Arial"/>
          <w:b/>
        </w:rPr>
        <w:t xml:space="preserve"> 14 July 2019.</w:t>
      </w:r>
    </w:p>
    <w:tbl>
      <w:tblPr>
        <w:tblStyle w:val="TableGrid"/>
        <w:tblW w:w="9777" w:type="dxa"/>
        <w:tblInd w:w="-284" w:type="dxa"/>
        <w:tblLook w:val="04A0" w:firstRow="1" w:lastRow="0" w:firstColumn="1" w:lastColumn="0" w:noHBand="0" w:noVBand="1"/>
      </w:tblPr>
      <w:tblGrid>
        <w:gridCol w:w="2063"/>
        <w:gridCol w:w="7714"/>
      </w:tblGrid>
      <w:tr w:rsidR="0092463A" w:rsidRPr="0092463A" w:rsidTr="0071185E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>Organisation</w:t>
            </w:r>
          </w:p>
        </w:tc>
        <w:tc>
          <w:tcPr>
            <w:tcW w:w="7714" w:type="dxa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</w:p>
        </w:tc>
      </w:tr>
      <w:tr w:rsidR="0092463A" w:rsidRPr="0092463A" w:rsidTr="0071185E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92463A" w:rsidRDefault="0092463A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 xml:space="preserve">Branch </w:t>
            </w:r>
          </w:p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>(if applicable)</w:t>
            </w:r>
          </w:p>
        </w:tc>
        <w:tc>
          <w:tcPr>
            <w:tcW w:w="7714" w:type="dxa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</w:p>
        </w:tc>
      </w:tr>
      <w:tr w:rsidR="0092463A" w:rsidRPr="0092463A" w:rsidTr="0071185E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>Name of  Representative(s)</w:t>
            </w:r>
          </w:p>
        </w:tc>
        <w:tc>
          <w:tcPr>
            <w:tcW w:w="7714" w:type="dxa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</w:p>
        </w:tc>
      </w:tr>
      <w:tr w:rsidR="0092463A" w:rsidRPr="0092463A" w:rsidTr="0071185E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>Phone Number</w:t>
            </w:r>
          </w:p>
        </w:tc>
        <w:tc>
          <w:tcPr>
            <w:tcW w:w="7714" w:type="dxa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</w:p>
        </w:tc>
      </w:tr>
      <w:tr w:rsidR="0092463A" w:rsidRPr="0092463A" w:rsidTr="0071185E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>Email</w:t>
            </w:r>
          </w:p>
        </w:tc>
        <w:tc>
          <w:tcPr>
            <w:tcW w:w="7714" w:type="dxa"/>
            <w:vAlign w:val="center"/>
          </w:tcPr>
          <w:p w:rsidR="0092463A" w:rsidRPr="0092463A" w:rsidRDefault="0092463A" w:rsidP="0092463A">
            <w:pPr>
              <w:ind w:right="-330"/>
              <w:rPr>
                <w:rFonts w:ascii="Arial" w:hAnsi="Arial" w:cs="Arial"/>
              </w:rPr>
            </w:pPr>
          </w:p>
        </w:tc>
      </w:tr>
    </w:tbl>
    <w:p w:rsidR="0092463A" w:rsidRPr="0092463A" w:rsidRDefault="0092463A" w:rsidP="0092463A">
      <w:pPr>
        <w:spacing w:after="0"/>
      </w:pPr>
    </w:p>
    <w:p w:rsidR="00D90967" w:rsidRPr="00D90967" w:rsidRDefault="00D90967" w:rsidP="0092463A">
      <w:pPr>
        <w:ind w:right="-330"/>
        <w:rPr>
          <w:rFonts w:ascii="Arial" w:hAnsi="Arial" w:cs="Arial"/>
          <w:sz w:val="14"/>
          <w:szCs w:val="14"/>
        </w:rPr>
        <w:sectPr w:rsidR="00D90967" w:rsidRPr="00D90967">
          <w:headerReference w:type="default" r:id="rId7"/>
          <w:footerReference w:type="default" r:id="rId8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3651" w:type="dxa"/>
        <w:tblInd w:w="-284" w:type="dxa"/>
        <w:tblLook w:val="04A0" w:firstRow="1" w:lastRow="0" w:firstColumn="1" w:lastColumn="0" w:noHBand="0" w:noVBand="1"/>
      </w:tblPr>
      <w:tblGrid>
        <w:gridCol w:w="2063"/>
        <w:gridCol w:w="794"/>
        <w:gridCol w:w="794"/>
      </w:tblGrid>
      <w:tr w:rsidR="00D90967" w:rsidRPr="0092463A" w:rsidTr="00D90967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D90967" w:rsidRPr="0092463A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Forum Stall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D90967" w:rsidRPr="0092463A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D90967" w:rsidRPr="0092463A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D90967" w:rsidRPr="0092463A" w:rsidTr="00D90967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D90967" w:rsidRDefault="00D90967" w:rsidP="0092463A">
            <w:pPr>
              <w:ind w:right="-330"/>
              <w:rPr>
                <w:rFonts w:ascii="Arial" w:hAnsi="Arial" w:cs="Arial"/>
              </w:rPr>
            </w:pPr>
            <w:r w:rsidRPr="0092463A">
              <w:rPr>
                <w:rFonts w:ascii="Arial" w:hAnsi="Arial" w:cs="Arial"/>
              </w:rPr>
              <w:t>Is power required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D90967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D90967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D90967" w:rsidRPr="0092463A" w:rsidTr="00D90967">
        <w:trPr>
          <w:trHeight w:val="510"/>
        </w:trPr>
        <w:tc>
          <w:tcPr>
            <w:tcW w:w="2063" w:type="dxa"/>
            <w:shd w:val="clear" w:color="auto" w:fill="FFF2CC" w:themeFill="accent4" w:themeFillTint="33"/>
            <w:vAlign w:val="center"/>
          </w:tcPr>
          <w:p w:rsidR="00D90967" w:rsidRPr="0092463A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Banner display</w:t>
            </w:r>
          </w:p>
        </w:tc>
        <w:tc>
          <w:tcPr>
            <w:tcW w:w="794" w:type="dxa"/>
            <w:vAlign w:val="center"/>
          </w:tcPr>
          <w:p w:rsidR="00D90967" w:rsidRPr="0092463A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794" w:type="dxa"/>
            <w:vAlign w:val="center"/>
          </w:tcPr>
          <w:p w:rsidR="00D90967" w:rsidRPr="0092463A" w:rsidRDefault="00D90967" w:rsidP="0092463A">
            <w:pPr>
              <w:ind w:right="-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</w:tbl>
    <w:p w:rsidR="00D90967" w:rsidRDefault="00D90967" w:rsidP="00DA51DB">
      <w:pPr>
        <w:ind w:left="-284" w:right="-330"/>
        <w:jc w:val="both"/>
        <w:rPr>
          <w:rFonts w:ascii="Arial" w:hAnsi="Arial" w:cs="Arial"/>
          <w:b/>
        </w:rPr>
        <w:sectPr w:rsidR="00D90967" w:rsidSect="00D90967">
          <w:type w:val="continuous"/>
          <w:pgSz w:w="11906" w:h="16838"/>
          <w:pgMar w:top="1440" w:right="1440" w:bottom="1440" w:left="1440" w:header="720" w:footer="720" w:gutter="0"/>
          <w:cols w:num="2" w:space="720"/>
          <w:docGrid w:linePitch="360"/>
        </w:sectPr>
      </w:pPr>
    </w:p>
    <w:p w:rsidR="00DA51DB" w:rsidRPr="00DA51DB" w:rsidRDefault="00DA51DB" w:rsidP="00370BC2">
      <w:pPr>
        <w:ind w:left="-284" w:right="-330"/>
        <w:jc w:val="both"/>
        <w:rPr>
          <w:rFonts w:ascii="Arial" w:hAnsi="Arial" w:cs="Arial"/>
          <w:b/>
        </w:rPr>
      </w:pPr>
    </w:p>
    <w:p w:rsidR="0012584F" w:rsidRPr="0012584F" w:rsidRDefault="0092463A" w:rsidP="0012584F">
      <w:pPr>
        <w:spacing w:after="0"/>
        <w:ind w:left="-284" w:right="-330"/>
        <w:jc w:val="both"/>
        <w:rPr>
          <w:rFonts w:ascii="Arial" w:hAnsi="Arial" w:cs="Arial"/>
          <w:i/>
        </w:rPr>
      </w:pPr>
      <w:r w:rsidRPr="0012584F">
        <w:rPr>
          <w:rFonts w:ascii="Arial" w:hAnsi="Arial" w:cs="Arial"/>
          <w:i/>
        </w:rPr>
        <w:t>F</w:t>
      </w:r>
      <w:r w:rsidR="00652300" w:rsidRPr="0012584F">
        <w:rPr>
          <w:rFonts w:ascii="Arial" w:hAnsi="Arial" w:cs="Arial"/>
          <w:i/>
        </w:rPr>
        <w:t xml:space="preserve">or more </w:t>
      </w:r>
      <w:r w:rsidRPr="0012584F">
        <w:rPr>
          <w:rFonts w:ascii="Arial" w:hAnsi="Arial" w:cs="Arial"/>
          <w:i/>
        </w:rPr>
        <w:t>information</w:t>
      </w:r>
      <w:r w:rsidR="00652300" w:rsidRPr="0012584F">
        <w:rPr>
          <w:rFonts w:ascii="Arial" w:hAnsi="Arial" w:cs="Arial"/>
          <w:i/>
        </w:rPr>
        <w:t>, please contact</w:t>
      </w:r>
      <w:r w:rsidR="0012584F" w:rsidRPr="0012584F">
        <w:rPr>
          <w:rFonts w:ascii="Arial" w:hAnsi="Arial" w:cs="Arial"/>
          <w:i/>
        </w:rPr>
        <w:t xml:space="preserve"> </w:t>
      </w:r>
      <w:r w:rsidRPr="0012584F">
        <w:rPr>
          <w:rFonts w:ascii="Arial" w:hAnsi="Arial" w:cs="Arial"/>
          <w:i/>
        </w:rPr>
        <w:t xml:space="preserve">Stefanie Oberwinkler </w:t>
      </w:r>
      <w:r w:rsidR="00652300" w:rsidRPr="0012584F">
        <w:rPr>
          <w:rFonts w:ascii="Arial" w:hAnsi="Arial" w:cs="Arial"/>
          <w:i/>
        </w:rPr>
        <w:t xml:space="preserve">at WANADA </w:t>
      </w:r>
    </w:p>
    <w:p w:rsidR="0092463A" w:rsidRPr="0012584F" w:rsidRDefault="00652300" w:rsidP="0012584F">
      <w:pPr>
        <w:spacing w:after="0"/>
        <w:ind w:left="-284" w:right="-330"/>
        <w:jc w:val="both"/>
        <w:rPr>
          <w:rFonts w:ascii="Arial" w:hAnsi="Arial" w:cs="Arial"/>
          <w:i/>
        </w:rPr>
      </w:pPr>
      <w:r w:rsidRPr="0012584F">
        <w:rPr>
          <w:rFonts w:ascii="Arial" w:hAnsi="Arial" w:cs="Arial"/>
          <w:i/>
        </w:rPr>
        <w:t>via</w:t>
      </w:r>
      <w:r w:rsidR="0092463A" w:rsidRPr="0012584F">
        <w:rPr>
          <w:rFonts w:ascii="Arial" w:hAnsi="Arial" w:cs="Arial"/>
          <w:i/>
        </w:rPr>
        <w:t xml:space="preserve"> </w:t>
      </w:r>
      <w:hyperlink r:id="rId9" w:history="1">
        <w:r w:rsidR="0092463A" w:rsidRPr="0012584F">
          <w:rPr>
            <w:rStyle w:val="Hyperlink"/>
            <w:rFonts w:ascii="Arial" w:hAnsi="Arial" w:cs="Arial"/>
            <w:i/>
          </w:rPr>
          <w:t>stefanie.oberwinkler@wanada.org.au</w:t>
        </w:r>
      </w:hyperlink>
      <w:r w:rsidR="0092463A" w:rsidRPr="0012584F">
        <w:rPr>
          <w:rFonts w:ascii="Arial" w:hAnsi="Arial" w:cs="Arial"/>
          <w:i/>
        </w:rPr>
        <w:t xml:space="preserve">. </w:t>
      </w:r>
    </w:p>
    <w:p w:rsidR="009568D5" w:rsidRDefault="009568D5" w:rsidP="0068424B"/>
    <w:p w:rsidR="009568D5" w:rsidRDefault="009568D5" w:rsidP="0068424B"/>
    <w:sectPr w:rsidR="009568D5" w:rsidSect="00D90967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84F" w:rsidRDefault="0012584F" w:rsidP="004E6C37">
      <w:pPr>
        <w:spacing w:after="0" w:line="240" w:lineRule="auto"/>
      </w:pPr>
      <w:r>
        <w:separator/>
      </w:r>
    </w:p>
  </w:endnote>
  <w:endnote w:type="continuationSeparator" w:id="0">
    <w:p w:rsidR="0012584F" w:rsidRDefault="0012584F" w:rsidP="004E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84F" w:rsidRDefault="0012584F">
    <w:pPr>
      <w:pStyle w:val="Footer"/>
    </w:pPr>
    <w:r w:rsidRPr="009568D5"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3751B3CA" wp14:editId="546B0FD1">
          <wp:simplePos x="0" y="0"/>
          <wp:positionH relativeFrom="column">
            <wp:posOffset>-837049</wp:posOffset>
          </wp:positionH>
          <wp:positionV relativeFrom="paragraph">
            <wp:posOffset>-1669134</wp:posOffset>
          </wp:positionV>
          <wp:extent cx="7420217" cy="2232000"/>
          <wp:effectExtent l="0" t="0" r="0" b="0"/>
          <wp:wrapNone/>
          <wp:docPr id="10" name="Picture 10" descr="L:\Events (EVT)\WANADA Events\2018-2019\Aboriginal Forum (ABF)\Development\Logo and Merchandise\190530-EVT-APF-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Events (EVT)\WANADA Events\2018-2019\Aboriginal Forum (ABF)\Development\Logo and Merchandise\190530-EVT-APF-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0217" cy="22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84F" w:rsidRDefault="0012584F" w:rsidP="004E6C37">
      <w:pPr>
        <w:spacing w:after="0" w:line="240" w:lineRule="auto"/>
      </w:pPr>
      <w:r>
        <w:separator/>
      </w:r>
    </w:p>
  </w:footnote>
  <w:footnote w:type="continuationSeparator" w:id="0">
    <w:p w:rsidR="0012584F" w:rsidRDefault="0012584F" w:rsidP="004E6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84F" w:rsidRDefault="0012584F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-931545</wp:posOffset>
          </wp:positionH>
          <wp:positionV relativeFrom="paragraph">
            <wp:posOffset>-441960</wp:posOffset>
          </wp:positionV>
          <wp:extent cx="7556655" cy="1620000"/>
          <wp:effectExtent l="0" t="0" r="635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655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E66D0"/>
    <w:multiLevelType w:val="hybridMultilevel"/>
    <w:tmpl w:val="5B8453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996F6E"/>
    <w:multiLevelType w:val="hybridMultilevel"/>
    <w:tmpl w:val="2FE01E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E9"/>
    <w:rsid w:val="00082F6C"/>
    <w:rsid w:val="0012584F"/>
    <w:rsid w:val="002815FC"/>
    <w:rsid w:val="002A466A"/>
    <w:rsid w:val="00305FFD"/>
    <w:rsid w:val="00335565"/>
    <w:rsid w:val="00370BC2"/>
    <w:rsid w:val="00417DA0"/>
    <w:rsid w:val="004E6C37"/>
    <w:rsid w:val="00537896"/>
    <w:rsid w:val="00652300"/>
    <w:rsid w:val="0068424B"/>
    <w:rsid w:val="006F6E68"/>
    <w:rsid w:val="0071185E"/>
    <w:rsid w:val="008C56CB"/>
    <w:rsid w:val="0092463A"/>
    <w:rsid w:val="009568D5"/>
    <w:rsid w:val="009D41E9"/>
    <w:rsid w:val="009E2CDC"/>
    <w:rsid w:val="009E6C44"/>
    <w:rsid w:val="00A12E86"/>
    <w:rsid w:val="00B323BD"/>
    <w:rsid w:val="00D40BEF"/>
    <w:rsid w:val="00D41381"/>
    <w:rsid w:val="00D60853"/>
    <w:rsid w:val="00D90967"/>
    <w:rsid w:val="00DA51DB"/>
    <w:rsid w:val="00E04C6A"/>
    <w:rsid w:val="00E612CA"/>
    <w:rsid w:val="00E7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34EE402-08C4-434C-9ACF-A956642F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C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68D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6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C37"/>
  </w:style>
  <w:style w:type="paragraph" w:styleId="Footer">
    <w:name w:val="footer"/>
    <w:basedOn w:val="Normal"/>
    <w:link w:val="FooterChar"/>
    <w:uiPriority w:val="99"/>
    <w:unhideWhenUsed/>
    <w:rsid w:val="004E6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C37"/>
  </w:style>
  <w:style w:type="table" w:styleId="TableGrid">
    <w:name w:val="Table Grid"/>
    <w:basedOn w:val="TableNormal"/>
    <w:uiPriority w:val="39"/>
    <w:rsid w:val="00924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1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efanie.oberwinkler@wanada.org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D805F0A5.dotm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Oberwinkler</dc:creator>
  <cp:keywords/>
  <dc:description/>
  <cp:lastModifiedBy>Stefanie Oberwinkler</cp:lastModifiedBy>
  <cp:revision>9</cp:revision>
  <cp:lastPrinted>2019-05-31T02:00:00Z</cp:lastPrinted>
  <dcterms:created xsi:type="dcterms:W3CDTF">2019-05-30T08:34:00Z</dcterms:created>
  <dcterms:modified xsi:type="dcterms:W3CDTF">2019-06-18T05:50:00Z</dcterms:modified>
</cp:coreProperties>
</file>