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014E" w14:textId="2729EDD8" w:rsidR="00E15876" w:rsidRDefault="00BA2ABC" w:rsidP="00E15876">
      <w:pPr>
        <w:pStyle w:val="Heading1"/>
        <w:spacing w:before="120" w:after="120"/>
        <w:jc w:val="center"/>
        <w:rPr>
          <w:b/>
          <w:bCs/>
          <w:color w:val="auto"/>
        </w:rPr>
      </w:pPr>
      <w:bookmarkStart w:id="0" w:name="_GoBack"/>
      <w:bookmarkEnd w:id="0"/>
      <w:r w:rsidRPr="009804D6">
        <w:rPr>
          <w:b/>
          <w:bCs/>
          <w:color w:val="auto"/>
        </w:rPr>
        <w:t xml:space="preserve">COVID-19 </w:t>
      </w:r>
      <w:r w:rsidR="006E1D87" w:rsidRPr="009804D6">
        <w:rPr>
          <w:b/>
          <w:bCs/>
          <w:color w:val="auto"/>
        </w:rPr>
        <w:t>Contingency Planning</w:t>
      </w:r>
    </w:p>
    <w:p w14:paraId="03B7D5B8" w14:textId="42E0D8B9" w:rsidR="006E1D87" w:rsidRPr="009804D6" w:rsidRDefault="006E1D87" w:rsidP="00E15876">
      <w:pPr>
        <w:pStyle w:val="Heading1"/>
        <w:pBdr>
          <w:bottom w:val="single" w:sz="4" w:space="1" w:color="auto"/>
        </w:pBdr>
        <w:spacing w:before="120" w:after="120"/>
        <w:jc w:val="center"/>
        <w:rPr>
          <w:b/>
          <w:bCs/>
          <w:color w:val="auto"/>
        </w:rPr>
      </w:pPr>
      <w:r w:rsidRPr="009804D6">
        <w:rPr>
          <w:b/>
          <w:bCs/>
          <w:color w:val="auto"/>
        </w:rPr>
        <w:t>Self-Assessment</w:t>
      </w:r>
      <w:r w:rsidR="00590FE8" w:rsidRPr="009804D6">
        <w:rPr>
          <w:b/>
          <w:bCs/>
          <w:color w:val="auto"/>
        </w:rPr>
        <w:t xml:space="preserve"> Checklist</w:t>
      </w:r>
      <w:r w:rsidR="00E15876">
        <w:rPr>
          <w:b/>
          <w:bCs/>
          <w:color w:val="auto"/>
        </w:rPr>
        <w:t>, and Collective Needs Identification</w:t>
      </w:r>
    </w:p>
    <w:p w14:paraId="218642A8" w14:textId="77777777" w:rsidR="00E15876" w:rsidRDefault="00E15876" w:rsidP="00045097">
      <w:pPr>
        <w:rPr>
          <w:rFonts w:ascii="Helvetica" w:hAnsi="Helvetica" w:cs="Helvetica"/>
          <w:sz w:val="24"/>
          <w:szCs w:val="24"/>
        </w:rPr>
      </w:pPr>
    </w:p>
    <w:p w14:paraId="498DD923" w14:textId="77777777" w:rsidR="00E15876" w:rsidRDefault="00E15876" w:rsidP="00045097">
      <w:pPr>
        <w:rPr>
          <w:rFonts w:ascii="Helvetica" w:hAnsi="Helvetica" w:cs="Helvetica"/>
          <w:sz w:val="24"/>
          <w:szCs w:val="24"/>
        </w:rPr>
      </w:pPr>
    </w:p>
    <w:p w14:paraId="4BE76789" w14:textId="36B7F063" w:rsidR="007B6375" w:rsidRPr="00E15876" w:rsidRDefault="00045097" w:rsidP="00045097">
      <w:pPr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 xml:space="preserve">WANADA appreciates many alcohol and other drug services have progressed a </w:t>
      </w:r>
      <w:r w:rsidR="007B6375" w:rsidRPr="00E15876">
        <w:rPr>
          <w:rFonts w:ascii="Helvetica" w:hAnsi="Helvetica" w:cs="Helvetica"/>
          <w:sz w:val="24"/>
          <w:szCs w:val="24"/>
        </w:rPr>
        <w:t>COVID-19</w:t>
      </w:r>
      <w:r w:rsidRPr="00E15876">
        <w:rPr>
          <w:rFonts w:ascii="Helvetica" w:hAnsi="Helvetica" w:cs="Helvetica"/>
          <w:sz w:val="24"/>
          <w:szCs w:val="24"/>
        </w:rPr>
        <w:t xml:space="preserve"> response plan. </w:t>
      </w:r>
    </w:p>
    <w:p w14:paraId="447BAB11" w14:textId="515BDAD8" w:rsidR="00045097" w:rsidRPr="00E15876" w:rsidRDefault="00045097" w:rsidP="00045097">
      <w:pPr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 xml:space="preserve">The Mental Health Commission </w:t>
      </w:r>
      <w:r w:rsidR="007B6375" w:rsidRPr="00E15876">
        <w:rPr>
          <w:rFonts w:ascii="Helvetica" w:hAnsi="Helvetica" w:cs="Helvetica"/>
          <w:sz w:val="24"/>
          <w:szCs w:val="24"/>
        </w:rPr>
        <w:t>need</w:t>
      </w:r>
      <w:r w:rsidRPr="00E15876">
        <w:rPr>
          <w:rFonts w:ascii="Helvetica" w:hAnsi="Helvetica" w:cs="Helvetica"/>
          <w:sz w:val="24"/>
          <w:szCs w:val="24"/>
        </w:rPr>
        <w:t xml:space="preserve"> a clear picture of any</w:t>
      </w:r>
      <w:r w:rsidR="007B6375" w:rsidRPr="00E15876">
        <w:rPr>
          <w:rFonts w:ascii="Helvetica" w:hAnsi="Helvetica" w:cs="Helvetica"/>
          <w:sz w:val="24"/>
          <w:szCs w:val="24"/>
        </w:rPr>
        <w:t xml:space="preserve"> identified gaps</w:t>
      </w:r>
      <w:r w:rsidRPr="00E15876">
        <w:rPr>
          <w:rFonts w:ascii="Helvetica" w:hAnsi="Helvetica" w:cs="Helvetica"/>
          <w:sz w:val="24"/>
          <w:szCs w:val="24"/>
        </w:rPr>
        <w:t xml:space="preserve"> </w:t>
      </w:r>
      <w:r w:rsidR="007B6375" w:rsidRPr="00E15876">
        <w:rPr>
          <w:rFonts w:ascii="Helvetica" w:hAnsi="Helvetica" w:cs="Helvetica"/>
          <w:sz w:val="24"/>
          <w:szCs w:val="24"/>
        </w:rPr>
        <w:t xml:space="preserve">or barriers to service continuity experienced by the alcohol and other drug sector. This will enable the MHC and WANADA to collaboratively work on an approach to </w:t>
      </w:r>
      <w:r w:rsidRPr="00E15876">
        <w:rPr>
          <w:rFonts w:ascii="Helvetica" w:hAnsi="Helvetica" w:cs="Helvetica"/>
          <w:sz w:val="24"/>
          <w:szCs w:val="24"/>
        </w:rPr>
        <w:t>address</w:t>
      </w:r>
      <w:r w:rsidR="007B6375" w:rsidRPr="00E15876">
        <w:rPr>
          <w:rFonts w:ascii="Helvetica" w:hAnsi="Helvetica" w:cs="Helvetica"/>
          <w:sz w:val="24"/>
          <w:szCs w:val="24"/>
        </w:rPr>
        <w:t xml:space="preserve"> sector needs. </w:t>
      </w:r>
      <w:r w:rsidRPr="00E15876">
        <w:rPr>
          <w:rFonts w:ascii="Helvetica" w:hAnsi="Helvetica" w:cs="Helvetica"/>
          <w:sz w:val="24"/>
          <w:szCs w:val="24"/>
        </w:rPr>
        <w:t xml:space="preserve"> </w:t>
      </w:r>
    </w:p>
    <w:p w14:paraId="77A1E6E7" w14:textId="2E63C4EC" w:rsidR="007B6375" w:rsidRPr="00E15876" w:rsidRDefault="00045097" w:rsidP="00045097">
      <w:pPr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>The following self-assessment</w:t>
      </w:r>
      <w:r w:rsidR="00612C0B" w:rsidRPr="00E15876">
        <w:rPr>
          <w:rStyle w:val="FootnoteReference"/>
          <w:rFonts w:ascii="Helvetica" w:hAnsi="Helvetica" w:cs="Helvetica"/>
          <w:sz w:val="24"/>
          <w:szCs w:val="24"/>
        </w:rPr>
        <w:footnoteReference w:id="1"/>
      </w:r>
      <w:r w:rsidRPr="00E15876">
        <w:rPr>
          <w:rFonts w:ascii="Helvetica" w:hAnsi="Helvetica" w:cs="Helvetica"/>
          <w:sz w:val="24"/>
          <w:szCs w:val="24"/>
        </w:rPr>
        <w:t xml:space="preserve"> covers some obvious areas o</w:t>
      </w:r>
      <w:r w:rsidR="007B6375" w:rsidRPr="00E15876">
        <w:rPr>
          <w:rFonts w:ascii="Helvetica" w:hAnsi="Helvetica" w:cs="Helvetica"/>
          <w:sz w:val="24"/>
          <w:szCs w:val="24"/>
        </w:rPr>
        <w:t>f</w:t>
      </w:r>
      <w:r w:rsidRPr="00E15876">
        <w:rPr>
          <w:rFonts w:ascii="Helvetica" w:hAnsi="Helvetica" w:cs="Helvetica"/>
          <w:sz w:val="24"/>
          <w:szCs w:val="24"/>
        </w:rPr>
        <w:t xml:space="preserve"> concern. </w:t>
      </w:r>
      <w:r w:rsidR="007B6375" w:rsidRPr="00E15876">
        <w:rPr>
          <w:rFonts w:ascii="Helvetica" w:hAnsi="Helvetica" w:cs="Helvetica"/>
          <w:sz w:val="24"/>
          <w:szCs w:val="24"/>
        </w:rPr>
        <w:t xml:space="preserve">Hopefully completing this will be of benefit to your organisation, as well as serving to identify needed solutions to any barriers. </w:t>
      </w:r>
    </w:p>
    <w:p w14:paraId="0FB79278" w14:textId="29A6E470" w:rsidR="007B6375" w:rsidRPr="00E15876" w:rsidRDefault="007B6375" w:rsidP="00045097">
      <w:pPr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 xml:space="preserve">Please complete </w:t>
      </w:r>
      <w:r w:rsidR="00612C0B" w:rsidRPr="00E15876">
        <w:rPr>
          <w:rFonts w:ascii="Helvetica" w:hAnsi="Helvetica" w:cs="Helvetica"/>
          <w:sz w:val="24"/>
          <w:szCs w:val="24"/>
        </w:rPr>
        <w:t xml:space="preserve">and return to WANADA </w:t>
      </w:r>
      <w:r w:rsidR="00612C0B" w:rsidRPr="00E15876">
        <w:rPr>
          <w:rFonts w:ascii="Helvetica" w:hAnsi="Helvetica" w:cs="Helvetica"/>
          <w:b/>
          <w:bCs/>
          <w:sz w:val="24"/>
          <w:szCs w:val="24"/>
        </w:rPr>
        <w:t xml:space="preserve">a separate </w:t>
      </w:r>
      <w:r w:rsidRPr="00E15876">
        <w:rPr>
          <w:rFonts w:ascii="Helvetica" w:hAnsi="Helvetica" w:cs="Helvetica"/>
          <w:b/>
          <w:bCs/>
          <w:sz w:val="24"/>
          <w:szCs w:val="24"/>
        </w:rPr>
        <w:t xml:space="preserve">form </w:t>
      </w:r>
      <w:r w:rsidR="00612C0B" w:rsidRPr="00E15876">
        <w:rPr>
          <w:rFonts w:ascii="Helvetica" w:hAnsi="Helvetica" w:cs="Helvetica"/>
          <w:b/>
          <w:bCs/>
          <w:sz w:val="24"/>
          <w:szCs w:val="24"/>
        </w:rPr>
        <w:t>(</w:t>
      </w:r>
      <w:r w:rsidRPr="00E15876">
        <w:rPr>
          <w:rFonts w:ascii="Helvetica" w:hAnsi="Helvetica" w:cs="Helvetica"/>
          <w:b/>
          <w:bCs/>
          <w:sz w:val="24"/>
          <w:szCs w:val="24"/>
        </w:rPr>
        <w:t>below</w:t>
      </w:r>
      <w:r w:rsidR="00612C0B" w:rsidRPr="00E15876">
        <w:rPr>
          <w:rFonts w:ascii="Helvetica" w:hAnsi="Helvetica" w:cs="Helvetica"/>
          <w:b/>
          <w:bCs/>
          <w:sz w:val="24"/>
          <w:szCs w:val="24"/>
        </w:rPr>
        <w:t>) for each service type</w:t>
      </w:r>
      <w:r w:rsidR="00612C0B" w:rsidRPr="00E15876">
        <w:rPr>
          <w:rFonts w:ascii="Helvetica" w:hAnsi="Helvetica" w:cs="Helvetica"/>
          <w:sz w:val="24"/>
          <w:szCs w:val="24"/>
        </w:rPr>
        <w:t xml:space="preserve"> delivered by your organisation. </w:t>
      </w:r>
      <w:r w:rsidRPr="00E15876">
        <w:rPr>
          <w:rFonts w:ascii="Helvetica" w:hAnsi="Helvetica" w:cs="Helvetica"/>
          <w:sz w:val="24"/>
          <w:szCs w:val="24"/>
        </w:rPr>
        <w:t xml:space="preserve"> </w:t>
      </w:r>
      <w:r w:rsidR="00612C0B" w:rsidRPr="00E15876">
        <w:rPr>
          <w:rFonts w:ascii="Helvetica" w:hAnsi="Helvetica" w:cs="Helvetica"/>
          <w:sz w:val="24"/>
          <w:szCs w:val="24"/>
        </w:rPr>
        <w:t xml:space="preserve">We need this information </w:t>
      </w:r>
      <w:r w:rsidRPr="00E15876">
        <w:rPr>
          <w:rFonts w:ascii="Helvetica" w:hAnsi="Helvetica" w:cs="Helvetica"/>
          <w:sz w:val="24"/>
          <w:szCs w:val="24"/>
        </w:rPr>
        <w:t xml:space="preserve">as soon as possible (preferably </w:t>
      </w:r>
      <w:r w:rsidR="00045097" w:rsidRPr="00E15876">
        <w:rPr>
          <w:rFonts w:ascii="Helvetica" w:hAnsi="Helvetica" w:cs="Helvetica"/>
          <w:sz w:val="24"/>
          <w:szCs w:val="24"/>
        </w:rPr>
        <w:t xml:space="preserve">by COB </w:t>
      </w:r>
      <w:r w:rsidRPr="00E15876">
        <w:rPr>
          <w:rFonts w:ascii="Helvetica" w:hAnsi="Helvetica" w:cs="Helvetica"/>
          <w:sz w:val="24"/>
          <w:szCs w:val="24"/>
        </w:rPr>
        <w:t>Thursday 2</w:t>
      </w:r>
      <w:r w:rsidR="009A4B7F" w:rsidRPr="00E15876">
        <w:rPr>
          <w:rFonts w:ascii="Helvetica" w:hAnsi="Helvetica" w:cs="Helvetica"/>
          <w:sz w:val="24"/>
          <w:szCs w:val="24"/>
        </w:rPr>
        <w:t xml:space="preserve"> April</w:t>
      </w:r>
      <w:r w:rsidRPr="00E15876">
        <w:rPr>
          <w:rFonts w:ascii="Helvetica" w:hAnsi="Helvetica" w:cs="Helvetica"/>
          <w:sz w:val="24"/>
          <w:szCs w:val="24"/>
        </w:rPr>
        <w:t>)</w:t>
      </w:r>
      <w:r w:rsidR="00612C0B" w:rsidRPr="00E15876">
        <w:rPr>
          <w:rFonts w:ascii="Helvetica" w:hAnsi="Helvetica" w:cs="Helvetica"/>
          <w:sz w:val="24"/>
          <w:szCs w:val="24"/>
        </w:rPr>
        <w:t xml:space="preserve">. </w:t>
      </w:r>
      <w:r w:rsidRPr="00E15876">
        <w:rPr>
          <w:rFonts w:ascii="Helvetica" w:hAnsi="Helvetica" w:cs="Helvetica"/>
          <w:sz w:val="24"/>
          <w:szCs w:val="24"/>
        </w:rPr>
        <w:t xml:space="preserve"> WANADA </w:t>
      </w:r>
      <w:r w:rsidR="00045097" w:rsidRPr="00E15876">
        <w:rPr>
          <w:rFonts w:ascii="Helvetica" w:hAnsi="Helvetica" w:cs="Helvetica"/>
          <w:sz w:val="24"/>
          <w:szCs w:val="24"/>
        </w:rPr>
        <w:t xml:space="preserve">will collate </w:t>
      </w:r>
      <w:r w:rsidRPr="00E15876">
        <w:rPr>
          <w:rFonts w:ascii="Helvetica" w:hAnsi="Helvetica" w:cs="Helvetica"/>
          <w:sz w:val="24"/>
          <w:szCs w:val="24"/>
        </w:rPr>
        <w:t>the information provide</w:t>
      </w:r>
      <w:r w:rsidR="00612C0B" w:rsidRPr="00E15876">
        <w:rPr>
          <w:rFonts w:ascii="Helvetica" w:hAnsi="Helvetica" w:cs="Helvetica"/>
          <w:sz w:val="24"/>
          <w:szCs w:val="24"/>
        </w:rPr>
        <w:t>d and r</w:t>
      </w:r>
      <w:r w:rsidR="00045097" w:rsidRPr="00E15876">
        <w:rPr>
          <w:rFonts w:ascii="Helvetica" w:hAnsi="Helvetica" w:cs="Helvetica"/>
          <w:sz w:val="24"/>
          <w:szCs w:val="24"/>
        </w:rPr>
        <w:t xml:space="preserve">elay </w:t>
      </w:r>
      <w:r w:rsidR="009A4B7F" w:rsidRPr="00E15876">
        <w:rPr>
          <w:rFonts w:ascii="Helvetica" w:hAnsi="Helvetica" w:cs="Helvetica"/>
          <w:sz w:val="24"/>
          <w:szCs w:val="24"/>
        </w:rPr>
        <w:t xml:space="preserve">any </w:t>
      </w:r>
      <w:r w:rsidRPr="00E15876">
        <w:rPr>
          <w:rFonts w:ascii="Helvetica" w:hAnsi="Helvetica" w:cs="Helvetica"/>
          <w:sz w:val="24"/>
          <w:szCs w:val="24"/>
        </w:rPr>
        <w:t xml:space="preserve">collective and service type </w:t>
      </w:r>
      <w:r w:rsidR="00045097" w:rsidRPr="00E15876">
        <w:rPr>
          <w:rFonts w:ascii="Helvetica" w:hAnsi="Helvetica" w:cs="Helvetica"/>
          <w:sz w:val="24"/>
          <w:szCs w:val="24"/>
        </w:rPr>
        <w:t xml:space="preserve">specific </w:t>
      </w:r>
      <w:r w:rsidRPr="00E15876">
        <w:rPr>
          <w:rFonts w:ascii="Helvetica" w:hAnsi="Helvetica" w:cs="Helvetica"/>
          <w:sz w:val="24"/>
          <w:szCs w:val="24"/>
        </w:rPr>
        <w:t>concerns</w:t>
      </w:r>
      <w:r w:rsidR="00045097" w:rsidRPr="00E15876">
        <w:rPr>
          <w:rFonts w:ascii="Helvetica" w:hAnsi="Helvetica" w:cs="Helvetica"/>
          <w:sz w:val="24"/>
          <w:szCs w:val="24"/>
        </w:rPr>
        <w:t xml:space="preserve"> to the MHC. </w:t>
      </w:r>
    </w:p>
    <w:p w14:paraId="62D95CD4" w14:textId="7F8D4407" w:rsidR="00045097" w:rsidRPr="00E15876" w:rsidRDefault="007B6375" w:rsidP="00045097">
      <w:pPr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 xml:space="preserve">Any </w:t>
      </w:r>
      <w:r w:rsidR="00045097" w:rsidRPr="00E15876">
        <w:rPr>
          <w:rFonts w:ascii="Helvetica" w:hAnsi="Helvetica" w:cs="Helvetica"/>
          <w:sz w:val="24"/>
          <w:szCs w:val="24"/>
        </w:rPr>
        <w:t xml:space="preserve">indication of funding needed </w:t>
      </w:r>
      <w:r w:rsidR="00612C0B" w:rsidRPr="00E15876">
        <w:rPr>
          <w:rFonts w:ascii="Helvetica" w:hAnsi="Helvetica" w:cs="Helvetica"/>
          <w:sz w:val="24"/>
          <w:szCs w:val="24"/>
        </w:rPr>
        <w:t>to support service continuity w</w:t>
      </w:r>
      <w:r w:rsidR="00045097" w:rsidRPr="00E15876">
        <w:rPr>
          <w:rFonts w:ascii="Helvetica" w:hAnsi="Helvetica" w:cs="Helvetica"/>
          <w:sz w:val="24"/>
          <w:szCs w:val="24"/>
        </w:rPr>
        <w:t xml:space="preserve">ould also be welcomed. </w:t>
      </w:r>
      <w:r w:rsidR="00612C0B" w:rsidRPr="00E15876">
        <w:rPr>
          <w:rFonts w:ascii="Helvetica" w:hAnsi="Helvetica" w:cs="Helvetica"/>
          <w:sz w:val="24"/>
          <w:szCs w:val="24"/>
        </w:rPr>
        <w:t xml:space="preserve">This is not intended to inhibit organisations informing the MHC of any concerns or funding needs directly. </w:t>
      </w:r>
    </w:p>
    <w:p w14:paraId="6977AFF6" w14:textId="2FA64E1B" w:rsidR="00612C0B" w:rsidRPr="00E15876" w:rsidRDefault="00612C0B" w:rsidP="00045097">
      <w:pPr>
        <w:rPr>
          <w:rFonts w:ascii="Helvetica" w:hAnsi="Helvetica" w:cs="Helvetica"/>
          <w:sz w:val="24"/>
          <w:szCs w:val="24"/>
        </w:rPr>
      </w:pPr>
    </w:p>
    <w:p w14:paraId="1A0F1E34" w14:textId="510673CD" w:rsidR="00612C0B" w:rsidRPr="00E15876" w:rsidRDefault="00612C0B" w:rsidP="00045097">
      <w:pPr>
        <w:rPr>
          <w:rFonts w:ascii="Helvetica" w:hAnsi="Helvetica" w:cs="Helvetica"/>
          <w:sz w:val="24"/>
          <w:szCs w:val="24"/>
        </w:rPr>
      </w:pPr>
    </w:p>
    <w:p w14:paraId="7F95612D" w14:textId="373C161C" w:rsidR="00612C0B" w:rsidRPr="00E15876" w:rsidRDefault="00612C0B" w:rsidP="00976434">
      <w:pPr>
        <w:spacing w:after="0"/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>Kindest regards</w:t>
      </w:r>
    </w:p>
    <w:p w14:paraId="1728F914" w14:textId="39453615" w:rsidR="00612C0B" w:rsidRPr="00E15876" w:rsidRDefault="00612C0B" w:rsidP="00976434">
      <w:pPr>
        <w:spacing w:after="0"/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 xml:space="preserve">Jill </w:t>
      </w:r>
      <w:r w:rsidR="00E15876" w:rsidRPr="00E15876">
        <w:rPr>
          <w:rFonts w:ascii="Helvetica" w:hAnsi="Helvetica" w:cs="Helvetica"/>
          <w:sz w:val="24"/>
          <w:szCs w:val="24"/>
        </w:rPr>
        <w:t>Rundle</w:t>
      </w:r>
    </w:p>
    <w:p w14:paraId="2F38851E" w14:textId="35B6BABE" w:rsidR="00E15876" w:rsidRPr="00E15876" w:rsidRDefault="00E15876" w:rsidP="00976434">
      <w:pPr>
        <w:spacing w:after="0"/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>CEO</w:t>
      </w:r>
    </w:p>
    <w:p w14:paraId="3E26EC81" w14:textId="5E042474" w:rsidR="00E15876" w:rsidRDefault="00E15876" w:rsidP="00976434">
      <w:pPr>
        <w:spacing w:after="0"/>
        <w:rPr>
          <w:rFonts w:ascii="Helvetica" w:hAnsi="Helvetica" w:cs="Helvetica"/>
          <w:sz w:val="24"/>
          <w:szCs w:val="24"/>
        </w:rPr>
      </w:pPr>
      <w:r w:rsidRPr="00E15876">
        <w:rPr>
          <w:rFonts w:ascii="Helvetica" w:hAnsi="Helvetica" w:cs="Helvetica"/>
          <w:sz w:val="24"/>
          <w:szCs w:val="24"/>
        </w:rPr>
        <w:t>WANADA</w:t>
      </w:r>
    </w:p>
    <w:p w14:paraId="5FF74CE8" w14:textId="2D4E4729" w:rsidR="00976434" w:rsidRDefault="00976434" w:rsidP="00045097">
      <w:pPr>
        <w:rPr>
          <w:rFonts w:ascii="Helvetica" w:hAnsi="Helvetica" w:cs="Helvetica"/>
          <w:sz w:val="24"/>
          <w:szCs w:val="24"/>
        </w:rPr>
      </w:pPr>
    </w:p>
    <w:p w14:paraId="2F0CB26F" w14:textId="0E310550" w:rsidR="00976434" w:rsidRPr="00E15876" w:rsidRDefault="00976434" w:rsidP="0004509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31 March 2020 </w:t>
      </w:r>
    </w:p>
    <w:p w14:paraId="76CBB28A" w14:textId="77777777" w:rsidR="00612C0B" w:rsidRDefault="00612C0B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083"/>
        <w:gridCol w:w="3373"/>
      </w:tblGrid>
      <w:tr w:rsidR="00612C0B" w:rsidRPr="007134D8" w14:paraId="3F3240F8" w14:textId="77777777" w:rsidTr="00612C0B">
        <w:tc>
          <w:tcPr>
            <w:tcW w:w="10456" w:type="dxa"/>
            <w:gridSpan w:val="2"/>
            <w:shd w:val="clear" w:color="auto" w:fill="auto"/>
          </w:tcPr>
          <w:p w14:paraId="19BB3D7A" w14:textId="2062510A" w:rsidR="00612C0B" w:rsidRPr="00612C0B" w:rsidRDefault="00612C0B" w:rsidP="00612C0B">
            <w:pPr>
              <w:spacing w:before="60" w:after="60"/>
              <w:rPr>
                <w:rFonts w:ascii="Helvetica" w:hAnsi="Helvetica" w:cs="Helvetica"/>
                <w:b/>
                <w:bCs/>
              </w:rPr>
            </w:pPr>
            <w:r w:rsidRPr="00612C0B">
              <w:rPr>
                <w:rFonts w:ascii="Helvetica" w:hAnsi="Helvetica" w:cs="Helvetica"/>
                <w:b/>
                <w:bCs/>
              </w:rPr>
              <w:lastRenderedPageBreak/>
              <w:t xml:space="preserve">Organisation Name: </w:t>
            </w:r>
          </w:p>
        </w:tc>
      </w:tr>
      <w:tr w:rsidR="00612C0B" w:rsidRPr="007134D8" w14:paraId="61FF49BD" w14:textId="77777777" w:rsidTr="00612C0B">
        <w:tc>
          <w:tcPr>
            <w:tcW w:w="10456" w:type="dxa"/>
            <w:gridSpan w:val="2"/>
            <w:shd w:val="clear" w:color="auto" w:fill="auto"/>
          </w:tcPr>
          <w:p w14:paraId="7ACCEA2B" w14:textId="5A177EE2" w:rsidR="00612C0B" w:rsidRPr="00612C0B" w:rsidRDefault="00612C0B" w:rsidP="00612C0B">
            <w:pPr>
              <w:spacing w:before="60" w:after="60"/>
              <w:rPr>
                <w:rFonts w:ascii="Helvetica" w:hAnsi="Helvetica" w:cs="Helvetica"/>
                <w:b/>
                <w:bCs/>
              </w:rPr>
            </w:pPr>
            <w:r w:rsidRPr="00612C0B">
              <w:rPr>
                <w:rFonts w:ascii="Helvetica" w:hAnsi="Helvetica" w:cs="Helvetica"/>
                <w:b/>
                <w:bCs/>
              </w:rPr>
              <w:t>Service type (please circle one option</w:t>
            </w:r>
            <w:r>
              <w:rPr>
                <w:rFonts w:ascii="Helvetica" w:hAnsi="Helvetica" w:cs="Helvetica"/>
                <w:b/>
                <w:bCs/>
              </w:rPr>
              <w:t xml:space="preserve"> – a separate form is needed for each service type delivered by your organisation</w:t>
            </w:r>
            <w:r w:rsidRPr="00612C0B">
              <w:rPr>
                <w:rFonts w:ascii="Helvetica" w:hAnsi="Helvetica" w:cs="Helvetica"/>
                <w:b/>
                <w:bCs/>
              </w:rPr>
              <w:t>)</w:t>
            </w:r>
          </w:p>
          <w:p w14:paraId="3132CA26" w14:textId="0BE211AE" w:rsidR="00612C0B" w:rsidRPr="00612C0B" w:rsidRDefault="00612C0B" w:rsidP="00612C0B">
            <w:p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 xml:space="preserve"> </w:t>
            </w:r>
          </w:p>
          <w:p w14:paraId="0481E388" w14:textId="77777777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Residential treatment</w:t>
            </w:r>
          </w:p>
          <w:p w14:paraId="06029613" w14:textId="77777777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Non-residential treatment</w:t>
            </w:r>
          </w:p>
          <w:p w14:paraId="2C441D30" w14:textId="35AC7DFA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Harm reduction</w:t>
            </w:r>
          </w:p>
          <w:p w14:paraId="3569BC35" w14:textId="37DEF090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 xml:space="preserve">Withdrawal </w:t>
            </w:r>
          </w:p>
          <w:p w14:paraId="4C207C73" w14:textId="77777777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Sobering-up</w:t>
            </w:r>
          </w:p>
          <w:p w14:paraId="15532298" w14:textId="5FC0DC5B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Patrol</w:t>
            </w:r>
            <w:r w:rsidR="0071758F">
              <w:rPr>
                <w:rFonts w:ascii="Helvetica" w:hAnsi="Helvetica" w:cs="Helvetica"/>
              </w:rPr>
              <w:t>/Community Connector</w:t>
            </w:r>
          </w:p>
          <w:p w14:paraId="3162DA64" w14:textId="7BA26750" w:rsidR="00612C0B" w:rsidRPr="00612C0B" w:rsidRDefault="00612C0B" w:rsidP="00612C0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Helvetica" w:hAnsi="Helvetica" w:cs="Helvetica"/>
              </w:rPr>
            </w:pPr>
            <w:r w:rsidRPr="00612C0B">
              <w:rPr>
                <w:rFonts w:ascii="Helvetica" w:hAnsi="Helvetica" w:cs="Helvetica"/>
              </w:rPr>
              <w:t>Other – please tell us</w:t>
            </w:r>
            <w:r>
              <w:rPr>
                <w:rFonts w:ascii="Helvetica" w:hAnsi="Helvetica" w:cs="Helvetica"/>
              </w:rPr>
              <w:t xml:space="preserve"> ____________________________________</w:t>
            </w:r>
          </w:p>
          <w:p w14:paraId="1CC23887" w14:textId="77777777" w:rsidR="00612C0B" w:rsidRPr="00612C0B" w:rsidRDefault="00612C0B" w:rsidP="00612C0B">
            <w:pPr>
              <w:pStyle w:val="ListParagraph"/>
              <w:spacing w:before="60" w:after="60"/>
              <w:rPr>
                <w:rFonts w:ascii="Helvetica" w:hAnsi="Helvetica" w:cs="Helvetica"/>
                <w:b/>
                <w:bCs/>
              </w:rPr>
            </w:pPr>
          </w:p>
        </w:tc>
      </w:tr>
      <w:tr w:rsidR="008F0553" w:rsidRPr="007134D8" w14:paraId="2C81BC31" w14:textId="77A20976" w:rsidTr="00612C0B">
        <w:trPr>
          <w:trHeight w:val="116"/>
        </w:trPr>
        <w:tc>
          <w:tcPr>
            <w:tcW w:w="7083" w:type="dxa"/>
            <w:shd w:val="clear" w:color="auto" w:fill="D9D9D9" w:themeFill="background1" w:themeFillShade="D9"/>
          </w:tcPr>
          <w:p w14:paraId="6B7617F3" w14:textId="1C31FF38" w:rsidR="008F0553" w:rsidRPr="007134D8" w:rsidRDefault="008F0553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Workforce</w:t>
            </w:r>
            <w:r w:rsidR="00FB0D34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considerations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E51D99F" w14:textId="55EFC5D7" w:rsidR="008F0553" w:rsidRPr="007134D8" w:rsidRDefault="00FB0D34" w:rsidP="007134D8">
            <w:pPr>
              <w:pStyle w:val="Heading1"/>
              <w:spacing w:before="60" w:after="60"/>
              <w:jc w:val="center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Comments and developments</w:t>
            </w:r>
          </w:p>
        </w:tc>
      </w:tr>
      <w:tr w:rsidR="008F0553" w:rsidRPr="007134D8" w14:paraId="6A30FEE0" w14:textId="45167603" w:rsidTr="00FB0D34">
        <w:tc>
          <w:tcPr>
            <w:tcW w:w="7083" w:type="dxa"/>
          </w:tcPr>
          <w:p w14:paraId="081D6178" w14:textId="51970634" w:rsidR="008F0553" w:rsidRPr="007134D8" w:rsidRDefault="00612C0B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Identified</w:t>
            </w:r>
            <w:r w:rsidR="004D58C0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minimum FTE requirements to maintain service continuity</w:t>
            </w:r>
          </w:p>
        </w:tc>
        <w:tc>
          <w:tcPr>
            <w:tcW w:w="3373" w:type="dxa"/>
          </w:tcPr>
          <w:p w14:paraId="09BA3559" w14:textId="77777777" w:rsidR="008F0553" w:rsidRPr="00FB0D34" w:rsidRDefault="008F0553" w:rsidP="0071758F">
            <w:pPr>
              <w:spacing w:before="60" w:after="60" w:line="22" w:lineRule="atLeast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DA3DC3" w:rsidRPr="007134D8" w14:paraId="7F55F0B1" w14:textId="77777777" w:rsidTr="00FB0D34">
        <w:tc>
          <w:tcPr>
            <w:tcW w:w="7083" w:type="dxa"/>
          </w:tcPr>
          <w:p w14:paraId="100203D9" w14:textId="784B9D00" w:rsidR="00DA3DC3" w:rsidRPr="007134D8" w:rsidRDefault="00DA3DC3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I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key roles that are critical to maintain service continuity and develop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contingency plans for these roles</w:t>
            </w:r>
          </w:p>
        </w:tc>
        <w:tc>
          <w:tcPr>
            <w:tcW w:w="3373" w:type="dxa"/>
          </w:tcPr>
          <w:p w14:paraId="385A6809" w14:textId="77777777" w:rsidR="00DA3DC3" w:rsidRPr="00FB0D34" w:rsidRDefault="00DA3DC3" w:rsidP="0071758F">
            <w:pPr>
              <w:spacing w:before="60" w:after="60" w:line="22" w:lineRule="atLeast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6A297C" w:rsidRPr="007134D8" w14:paraId="704799DA" w14:textId="77777777" w:rsidTr="00FB0D34">
        <w:tc>
          <w:tcPr>
            <w:tcW w:w="7083" w:type="dxa"/>
          </w:tcPr>
          <w:p w14:paraId="22AC22AF" w14:textId="07D30383" w:rsidR="006A297C" w:rsidRDefault="006A297C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Determine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which shifts can be rearranged to minimise risk of infection across the workforce</w:t>
            </w:r>
          </w:p>
        </w:tc>
        <w:tc>
          <w:tcPr>
            <w:tcW w:w="3373" w:type="dxa"/>
          </w:tcPr>
          <w:p w14:paraId="40BB6612" w14:textId="77777777" w:rsidR="006A297C" w:rsidRPr="00FB0D34" w:rsidRDefault="006A297C" w:rsidP="0071758F">
            <w:pPr>
              <w:spacing w:before="60" w:after="60" w:line="22" w:lineRule="atLeast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4D58C0" w:rsidRPr="007134D8" w14:paraId="0961E7F7" w14:textId="77777777" w:rsidTr="00FB0D34">
        <w:tc>
          <w:tcPr>
            <w:tcW w:w="7083" w:type="dxa"/>
          </w:tcPr>
          <w:p w14:paraId="6483EEBF" w14:textId="185F1E63" w:rsidR="004D58C0" w:rsidRPr="007134D8" w:rsidRDefault="004D58C0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workers who are </w:t>
            </w:r>
            <w:r w:rsidR="00DA3DC3">
              <w:rPr>
                <w:rFonts w:ascii="Helvetica" w:hAnsi="Helvetica" w:cs="Helvetica"/>
                <w:color w:val="000000"/>
                <w:lang w:eastAsia="en-AU"/>
              </w:rPr>
              <w:t xml:space="preserve">in the at-risk cohort or those likely impacted by restrictions e.g. people with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chronic health conditions, Aboriginal workers over 50, non-Aboriginal workers over 60</w:t>
            </w:r>
            <w:r w:rsidR="00FB0D34">
              <w:rPr>
                <w:rFonts w:ascii="Helvetica" w:hAnsi="Helvetica" w:cs="Helvetica"/>
                <w:color w:val="000000"/>
                <w:lang w:eastAsia="en-AU"/>
              </w:rPr>
              <w:t>,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 w:rsidR="00DA3DC3" w:rsidRPr="007134D8">
              <w:rPr>
                <w:rFonts w:ascii="Helvetica" w:hAnsi="Helvetica" w:cs="Helvetica"/>
                <w:color w:val="000000"/>
                <w:lang w:eastAsia="en-AU"/>
              </w:rPr>
              <w:t>parents or carers</w:t>
            </w:r>
            <w:r w:rsidR="00DA3DC3">
              <w:rPr>
                <w:rFonts w:ascii="Helvetica" w:hAnsi="Helvetica" w:cs="Helvetica"/>
                <w:color w:val="000000"/>
                <w:lang w:eastAsia="en-AU"/>
              </w:rPr>
              <w:t>,</w:t>
            </w:r>
            <w:r w:rsidR="00DA3DC3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 w:rsidR="00FB0D34">
              <w:rPr>
                <w:rFonts w:ascii="Helvetica" w:hAnsi="Helvetica" w:cs="Helvetica"/>
                <w:color w:val="000000"/>
                <w:lang w:eastAsia="en-AU"/>
              </w:rPr>
              <w:t xml:space="preserve">etc. </w:t>
            </w:r>
          </w:p>
        </w:tc>
        <w:tc>
          <w:tcPr>
            <w:tcW w:w="3373" w:type="dxa"/>
          </w:tcPr>
          <w:p w14:paraId="346B09C0" w14:textId="77777777" w:rsidR="004D58C0" w:rsidRPr="007134D8" w:rsidRDefault="004D58C0" w:rsidP="0071758F">
            <w:pPr>
              <w:pStyle w:val="ListParagraph"/>
              <w:spacing w:before="60" w:after="60" w:line="22" w:lineRule="atLeast"/>
              <w:ind w:left="0"/>
              <w:contextualSpacing w:val="0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764497" w:rsidRPr="007134D8" w14:paraId="276030F8" w14:textId="77777777" w:rsidTr="00FB0D34">
        <w:tc>
          <w:tcPr>
            <w:tcW w:w="7083" w:type="dxa"/>
          </w:tcPr>
          <w:p w14:paraId="726202CF" w14:textId="7EB7B9C8" w:rsidR="00764497" w:rsidRPr="007134D8" w:rsidRDefault="00764497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workers with appropriate credentials for redeployment and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who are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willing to be redeployed</w:t>
            </w:r>
          </w:p>
        </w:tc>
        <w:tc>
          <w:tcPr>
            <w:tcW w:w="3373" w:type="dxa"/>
          </w:tcPr>
          <w:p w14:paraId="3512A567" w14:textId="77777777" w:rsidR="00764497" w:rsidRPr="007134D8" w:rsidRDefault="00764497" w:rsidP="0071758F">
            <w:pPr>
              <w:pStyle w:val="ListParagraph"/>
              <w:spacing w:before="60" w:after="60" w:line="22" w:lineRule="atLeast"/>
              <w:ind w:left="0"/>
              <w:contextualSpacing w:val="0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D2E40" w:rsidRPr="007134D8" w14:paraId="61F8CA38" w14:textId="77777777" w:rsidTr="00FB0D34">
        <w:tc>
          <w:tcPr>
            <w:tcW w:w="7083" w:type="dxa"/>
          </w:tcPr>
          <w:p w14:paraId="7C0EE4B3" w14:textId="18BAA5B0" w:rsidR="00FD2E40" w:rsidRPr="007134D8" w:rsidRDefault="00FD2E40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Determine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what work can be conducted remotely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and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what resources are necessary and implement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as practicable</w:t>
            </w:r>
          </w:p>
        </w:tc>
        <w:tc>
          <w:tcPr>
            <w:tcW w:w="3373" w:type="dxa"/>
          </w:tcPr>
          <w:p w14:paraId="62689A6A" w14:textId="77777777" w:rsidR="00FD2E40" w:rsidRPr="007134D8" w:rsidRDefault="00FD2E40" w:rsidP="0071758F">
            <w:pPr>
              <w:pStyle w:val="ListParagraph"/>
              <w:spacing w:before="60" w:after="60" w:line="22" w:lineRule="atLeast"/>
              <w:ind w:left="0"/>
              <w:contextualSpacing w:val="0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764497" w:rsidRPr="007134D8" w14:paraId="2229E2AD" w14:textId="77777777" w:rsidTr="00FB0D34">
        <w:tc>
          <w:tcPr>
            <w:tcW w:w="7083" w:type="dxa"/>
          </w:tcPr>
          <w:p w14:paraId="57796148" w14:textId="125F99AF" w:rsidR="00764497" w:rsidRPr="007134D8" w:rsidRDefault="00764497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key skills, qualification and certifications (e.g. W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 xml:space="preserve">orking </w:t>
            </w:r>
            <w:r w:rsidR="0071758F">
              <w:rPr>
                <w:rFonts w:ascii="Helvetica" w:hAnsi="Helvetica" w:cs="Helvetica"/>
                <w:color w:val="000000"/>
                <w:lang w:eastAsia="en-AU"/>
              </w:rPr>
              <w:t>w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 xml:space="preserve">ith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C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hildren Checks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) by role type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and training/resource needs for redeployment </w:t>
            </w:r>
          </w:p>
        </w:tc>
        <w:tc>
          <w:tcPr>
            <w:tcW w:w="3373" w:type="dxa"/>
          </w:tcPr>
          <w:p w14:paraId="6695F6CC" w14:textId="77777777" w:rsidR="00764497" w:rsidRPr="007134D8" w:rsidRDefault="00764497" w:rsidP="0071758F">
            <w:pPr>
              <w:pStyle w:val="ListParagraph"/>
              <w:spacing w:before="60" w:after="60" w:line="22" w:lineRule="atLeast"/>
              <w:ind w:left="0"/>
              <w:contextualSpacing w:val="0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6A297C" w:rsidRPr="007134D8" w14:paraId="31ED31C7" w14:textId="77777777" w:rsidTr="00FB0D34">
        <w:tc>
          <w:tcPr>
            <w:tcW w:w="7083" w:type="dxa"/>
          </w:tcPr>
          <w:p w14:paraId="4092CAB5" w14:textId="3F3BBD68" w:rsidR="006A297C" w:rsidRPr="007134D8" w:rsidRDefault="006A297C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 xml:space="preserve">and enabled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worker training to support management of an outbreak on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-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site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e.g. training on the proper use of PPE</w:t>
            </w:r>
          </w:p>
        </w:tc>
        <w:tc>
          <w:tcPr>
            <w:tcW w:w="3373" w:type="dxa"/>
          </w:tcPr>
          <w:p w14:paraId="5A776868" w14:textId="77777777" w:rsidR="006A297C" w:rsidRPr="007134D8" w:rsidRDefault="006A297C" w:rsidP="0071758F">
            <w:pPr>
              <w:pStyle w:val="ListParagraph"/>
              <w:spacing w:before="60" w:after="60" w:line="22" w:lineRule="atLeast"/>
              <w:ind w:left="0"/>
              <w:contextualSpacing w:val="0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B0D34" w:rsidRPr="007134D8" w14:paraId="1856E107" w14:textId="77777777" w:rsidTr="00FB0D34">
        <w:tc>
          <w:tcPr>
            <w:tcW w:w="7083" w:type="dxa"/>
          </w:tcPr>
          <w:p w14:paraId="2D32A90D" w14:textId="4548812E" w:rsidR="00FB0D34" w:rsidRPr="007134D8" w:rsidRDefault="005B2DBF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P</w:t>
            </w:r>
            <w:r w:rsidR="00764497" w:rsidRPr="007134D8">
              <w:rPr>
                <w:rFonts w:ascii="Helvetica" w:hAnsi="Helvetica" w:cs="Helvetica"/>
                <w:color w:val="000000"/>
                <w:lang w:eastAsia="en-AU"/>
              </w:rPr>
              <w:t>rocesses in place for ongoing assessment of worker wellbeing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,</w:t>
            </w:r>
            <w:r w:rsidR="00764497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and provision of additional supports</w:t>
            </w:r>
          </w:p>
        </w:tc>
        <w:tc>
          <w:tcPr>
            <w:tcW w:w="3373" w:type="dxa"/>
          </w:tcPr>
          <w:p w14:paraId="0B8C16E4" w14:textId="77777777" w:rsidR="00FB0D34" w:rsidRPr="00FB0D34" w:rsidRDefault="00FB0D34" w:rsidP="0071758F">
            <w:pPr>
              <w:spacing w:before="60" w:after="60" w:line="22" w:lineRule="atLeast"/>
              <w:jc w:val="both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DB1267" w:rsidRPr="007134D8" w14:paraId="61CFCCC6" w14:textId="77777777" w:rsidTr="00DB126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66E556B" w14:textId="5C32C071" w:rsidR="00DB1267" w:rsidRPr="007134D8" w:rsidRDefault="00DB1267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Barriers/</w:t>
            </w:r>
            <w:r w:rsidR="000E00AC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g</w:t>
            </w: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aps/</w:t>
            </w:r>
            <w:r w:rsidR="000E00AC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n</w:t>
            </w: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eeds</w:t>
            </w:r>
            <w:r w:rsidR="004D58C0"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related to workforce</w:t>
            </w:r>
          </w:p>
        </w:tc>
      </w:tr>
      <w:tr w:rsidR="00DB1267" w:rsidRPr="007134D8" w14:paraId="0D66C0B9" w14:textId="77777777" w:rsidTr="00DB1267">
        <w:tc>
          <w:tcPr>
            <w:tcW w:w="10456" w:type="dxa"/>
            <w:gridSpan w:val="2"/>
            <w:shd w:val="clear" w:color="auto" w:fill="FFFFFF" w:themeFill="background1"/>
          </w:tcPr>
          <w:p w14:paraId="1DCE1A73" w14:textId="09909902" w:rsidR="00764497" w:rsidRDefault="00764497" w:rsidP="00E15876">
            <w:pPr>
              <w:spacing w:before="120" w:after="120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What are the staff gaps to enable minimum service continuity?</w:t>
            </w:r>
          </w:p>
          <w:p w14:paraId="46C90ACB" w14:textId="47369E78" w:rsidR="00764497" w:rsidRDefault="00764497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What training and resources are needed to support the workforce at this time?</w:t>
            </w:r>
          </w:p>
          <w:p w14:paraId="4D63AB1C" w14:textId="695DA39B" w:rsidR="006A297C" w:rsidRDefault="006A297C" w:rsidP="00E15876">
            <w:pPr>
              <w:spacing w:before="120" w:after="120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 xml:space="preserve">Are there IT/communication barriers to enabling 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 xml:space="preserve">remote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service 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delivery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?</w:t>
            </w:r>
          </w:p>
          <w:p w14:paraId="1F156F29" w14:textId="4DE1A15E" w:rsidR="00F512A8" w:rsidRDefault="006A297C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</w:t>
            </w:r>
            <w:r w:rsidR="00764497">
              <w:rPr>
                <w:rFonts w:ascii="Helvetica" w:hAnsi="Helvetica" w:cs="Helvetica"/>
              </w:rPr>
              <w:t xml:space="preserve">ther workforce barriers, gaps or needs? </w:t>
            </w:r>
          </w:p>
          <w:p w14:paraId="5041F527" w14:textId="542BAF10" w:rsidR="005B2DBF" w:rsidRPr="007134D8" w:rsidRDefault="00612C0B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Funding needs to support service continuity</w:t>
            </w:r>
            <w:r w:rsidR="005B2DBF">
              <w:rPr>
                <w:rFonts w:ascii="Helvetica" w:hAnsi="Helvetica" w:cs="Helvetica"/>
              </w:rPr>
              <w:t xml:space="preserve"> regarding workforce</w:t>
            </w:r>
            <w:r>
              <w:rPr>
                <w:rFonts w:ascii="Helvetica" w:hAnsi="Helvetica" w:cs="Helvetica"/>
              </w:rPr>
              <w:t>?</w:t>
            </w:r>
          </w:p>
        </w:tc>
      </w:tr>
    </w:tbl>
    <w:p w14:paraId="32F893E3" w14:textId="77777777" w:rsidR="0043638A" w:rsidRDefault="0043638A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083"/>
        <w:gridCol w:w="3373"/>
      </w:tblGrid>
      <w:tr w:rsidR="008F0553" w:rsidRPr="007134D8" w14:paraId="6EFF0390" w14:textId="479D4C28" w:rsidTr="00FB0D34">
        <w:tc>
          <w:tcPr>
            <w:tcW w:w="7083" w:type="dxa"/>
            <w:shd w:val="clear" w:color="auto" w:fill="D9D9D9" w:themeFill="background1" w:themeFillShade="D9"/>
          </w:tcPr>
          <w:p w14:paraId="74AEBFBF" w14:textId="035009C2" w:rsidR="008F0553" w:rsidRPr="007134D8" w:rsidRDefault="008F0553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lastRenderedPageBreak/>
              <w:t>Site</w:t>
            </w:r>
            <w:r w:rsidR="00764497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considerations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787F768A" w14:textId="19CB6C10" w:rsidR="008F0553" w:rsidRPr="007134D8" w:rsidRDefault="00764497" w:rsidP="007134D8">
            <w:pPr>
              <w:pStyle w:val="Heading1"/>
              <w:spacing w:before="60" w:after="60"/>
              <w:jc w:val="center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Comments and developments</w:t>
            </w:r>
          </w:p>
        </w:tc>
      </w:tr>
      <w:tr w:rsidR="00D412BF" w:rsidRPr="007134D8" w14:paraId="167039B5" w14:textId="77777777" w:rsidTr="00FB0D34">
        <w:tc>
          <w:tcPr>
            <w:tcW w:w="7083" w:type="dxa"/>
          </w:tcPr>
          <w:p w14:paraId="19E0E650" w14:textId="58DCF672" w:rsidR="00D412BF" w:rsidRPr="007134D8" w:rsidRDefault="00D412BF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Assess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ed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site capacity in relation to infection control measures and government restrictions</w:t>
            </w:r>
            <w:r w:rsidR="006A297C">
              <w:rPr>
                <w:rFonts w:ascii="Helvetica" w:hAnsi="Helvetica" w:cs="Helvetica"/>
                <w:color w:val="000000"/>
                <w:lang w:eastAsia="en-AU"/>
              </w:rPr>
              <w:t>, including social distancing and hygiene (with or without PPEs)</w:t>
            </w:r>
          </w:p>
        </w:tc>
        <w:tc>
          <w:tcPr>
            <w:tcW w:w="3373" w:type="dxa"/>
          </w:tcPr>
          <w:p w14:paraId="63F05816" w14:textId="77777777" w:rsidR="00D412BF" w:rsidRPr="00764497" w:rsidRDefault="00D412BF" w:rsidP="00764497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4D58C0" w:rsidRPr="007134D8" w14:paraId="39272590" w14:textId="77777777" w:rsidTr="00FB0D34">
        <w:tc>
          <w:tcPr>
            <w:tcW w:w="7083" w:type="dxa"/>
          </w:tcPr>
          <w:p w14:paraId="133AAEB9" w14:textId="6D068048" w:rsidR="004D58C0" w:rsidRPr="0043638A" w:rsidRDefault="004D58C0" w:rsidP="0043638A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Assess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isolation and quarantine </w:t>
            </w:r>
            <w:r w:rsidR="0043638A">
              <w:rPr>
                <w:rFonts w:ascii="Helvetica" w:hAnsi="Helvetica" w:cs="Helvetica"/>
                <w:color w:val="000000"/>
                <w:lang w:eastAsia="en-AU"/>
              </w:rPr>
              <w:t>capability while maintaining the service focus</w:t>
            </w:r>
          </w:p>
        </w:tc>
        <w:tc>
          <w:tcPr>
            <w:tcW w:w="3373" w:type="dxa"/>
          </w:tcPr>
          <w:p w14:paraId="4D4DB50A" w14:textId="77777777" w:rsidR="004D58C0" w:rsidRPr="0043638A" w:rsidRDefault="004D58C0" w:rsidP="0043638A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43638A" w:rsidRPr="007134D8" w14:paraId="69F595A3" w14:textId="77777777" w:rsidTr="00FB0D34">
        <w:tc>
          <w:tcPr>
            <w:tcW w:w="7083" w:type="dxa"/>
          </w:tcPr>
          <w:p w14:paraId="38443F70" w14:textId="233F2310" w:rsidR="0043638A" w:rsidRPr="007134D8" w:rsidRDefault="0043638A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Determined requirements for r</w:t>
            </w:r>
            <w:r w:rsidRPr="0043638A">
              <w:rPr>
                <w:rFonts w:ascii="Helvetica" w:hAnsi="Helvetica" w:cs="Helvetica"/>
                <w:color w:val="000000"/>
                <w:lang w:eastAsia="en-AU"/>
              </w:rPr>
              <w:t>e-purpos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ing </w:t>
            </w:r>
            <w:r w:rsidRPr="0043638A">
              <w:rPr>
                <w:rFonts w:ascii="Helvetica" w:hAnsi="Helvetica" w:cs="Helvetica"/>
                <w:color w:val="000000"/>
                <w:lang w:eastAsia="en-AU"/>
              </w:rPr>
              <w:t xml:space="preserve">of site as necessary (e.g.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offering site as a </w:t>
            </w:r>
            <w:r w:rsidRPr="0043638A">
              <w:rPr>
                <w:rFonts w:ascii="Helvetica" w:hAnsi="Helvetica" w:cs="Helvetica"/>
                <w:color w:val="000000"/>
                <w:lang w:eastAsia="en-AU"/>
              </w:rPr>
              <w:t xml:space="preserve">quarantine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space</w:t>
            </w:r>
            <w:r w:rsidRPr="0043638A">
              <w:rPr>
                <w:rFonts w:ascii="Helvetica" w:hAnsi="Helvetica" w:cs="Helvetica"/>
                <w:color w:val="000000"/>
                <w:lang w:eastAsia="en-AU"/>
              </w:rPr>
              <w:t>)</w:t>
            </w:r>
          </w:p>
        </w:tc>
        <w:tc>
          <w:tcPr>
            <w:tcW w:w="3373" w:type="dxa"/>
          </w:tcPr>
          <w:p w14:paraId="2D4277AB" w14:textId="77777777" w:rsidR="0043638A" w:rsidRPr="0043638A" w:rsidRDefault="0043638A" w:rsidP="0043638A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8F0553" w:rsidRPr="007134D8" w14:paraId="3C337116" w14:textId="4CF38E6F" w:rsidTr="00FB0D34">
        <w:tc>
          <w:tcPr>
            <w:tcW w:w="7083" w:type="dxa"/>
          </w:tcPr>
          <w:p w14:paraId="48388AD9" w14:textId="66104283" w:rsidR="008F0553" w:rsidRPr="007134D8" w:rsidRDefault="008F0553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alternative </w:t>
            </w:r>
            <w:r w:rsidR="00737CCA">
              <w:rPr>
                <w:rFonts w:ascii="Helvetica" w:hAnsi="Helvetica" w:cs="Helvetica"/>
                <w:color w:val="000000"/>
                <w:lang w:eastAsia="en-AU"/>
              </w:rPr>
              <w:t xml:space="preserve">sites for delivery of services and/or places of residence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that can be </w:t>
            </w:r>
            <w:r w:rsidR="00737CCA">
              <w:rPr>
                <w:rFonts w:ascii="Helvetica" w:hAnsi="Helvetica" w:cs="Helvetica"/>
                <w:color w:val="000000"/>
                <w:lang w:eastAsia="en-AU"/>
              </w:rPr>
              <w:t>used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for workers and </w:t>
            </w:r>
            <w:r w:rsidR="00316C74">
              <w:rPr>
                <w:rFonts w:ascii="Helvetica" w:hAnsi="Helvetica" w:cs="Helvetica"/>
                <w:color w:val="000000"/>
                <w:lang w:eastAsia="en-AU"/>
              </w:rPr>
              <w:t>consumer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s if required </w:t>
            </w:r>
          </w:p>
        </w:tc>
        <w:tc>
          <w:tcPr>
            <w:tcW w:w="3373" w:type="dxa"/>
          </w:tcPr>
          <w:p w14:paraId="36AC0D5E" w14:textId="77777777" w:rsidR="008F0553" w:rsidRPr="0043638A" w:rsidRDefault="008F0553" w:rsidP="0043638A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DB1267" w:rsidRPr="007134D8" w14:paraId="215E5A40" w14:textId="77777777" w:rsidTr="00DB126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4788F8" w14:textId="7680BFB6" w:rsidR="00DB1267" w:rsidRPr="007134D8" w:rsidRDefault="00DB1267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Barriers/</w:t>
            </w:r>
            <w:r w:rsidR="004D58C0"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g</w:t>
            </w: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aps/</w:t>
            </w:r>
            <w:r w:rsidR="004D58C0"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n</w:t>
            </w: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eeds</w:t>
            </w:r>
            <w:r w:rsidR="004D58C0"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related to site </w:t>
            </w:r>
          </w:p>
        </w:tc>
      </w:tr>
      <w:tr w:rsidR="00DB1267" w:rsidRPr="007134D8" w14:paraId="56CF9A28" w14:textId="77777777" w:rsidTr="00DB1267">
        <w:tc>
          <w:tcPr>
            <w:tcW w:w="10456" w:type="dxa"/>
            <w:gridSpan w:val="2"/>
            <w:shd w:val="clear" w:color="auto" w:fill="FFFFFF" w:themeFill="background1"/>
          </w:tcPr>
          <w:p w14:paraId="0069450D" w14:textId="6D54DB3E" w:rsidR="0043638A" w:rsidRDefault="005B2DBF" w:rsidP="00E15876">
            <w:pPr>
              <w:spacing w:before="120" w:after="120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 xml:space="preserve">How have measures adopted </w:t>
            </w:r>
            <w:r w:rsidR="0043638A">
              <w:rPr>
                <w:rFonts w:ascii="Helvetica" w:hAnsi="Helvetica" w:cs="Helvetica"/>
                <w:color w:val="000000"/>
                <w:lang w:eastAsia="en-AU"/>
              </w:rPr>
              <w:t>impact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ed</w:t>
            </w:r>
            <w:r w:rsidR="0043638A">
              <w:rPr>
                <w:rFonts w:ascii="Helvetica" w:hAnsi="Helvetica" w:cs="Helvetica"/>
                <w:color w:val="000000"/>
                <w:lang w:eastAsia="en-AU"/>
              </w:rPr>
              <w:t xml:space="preserve"> on service capacity?</w:t>
            </w:r>
          </w:p>
          <w:p w14:paraId="2095A876" w14:textId="77777777" w:rsidR="00F512A8" w:rsidRDefault="00FD2E40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Other site barriers, gaps or needs? </w:t>
            </w:r>
          </w:p>
          <w:p w14:paraId="07B5717E" w14:textId="2AE7D128" w:rsidR="005B2DBF" w:rsidRPr="007134D8" w:rsidRDefault="005B2DBF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Funding needs to support service continuity related to site </w:t>
            </w:r>
            <w:r w:rsidR="00E15876">
              <w:rPr>
                <w:rFonts w:ascii="Helvetica" w:hAnsi="Helvetica" w:cs="Helvetica"/>
              </w:rPr>
              <w:t>considerations?</w:t>
            </w:r>
          </w:p>
        </w:tc>
      </w:tr>
      <w:tr w:rsidR="008F0553" w:rsidRPr="007134D8" w14:paraId="4DE638EA" w14:textId="42B42023" w:rsidTr="00FB0D34">
        <w:tc>
          <w:tcPr>
            <w:tcW w:w="7083" w:type="dxa"/>
            <w:shd w:val="clear" w:color="auto" w:fill="D9D9D9" w:themeFill="background1" w:themeFillShade="D9"/>
          </w:tcPr>
          <w:p w14:paraId="395A07B3" w14:textId="07DE2AA6" w:rsidR="008F0553" w:rsidRPr="007134D8" w:rsidRDefault="008F0553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Risk </w:t>
            </w:r>
            <w:r w:rsidR="00FD2E40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m</w:t>
            </w: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anagement</w:t>
            </w:r>
            <w:r w:rsidR="006A297C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considerations 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341B27D" w14:textId="7A0EB66D" w:rsidR="008F0553" w:rsidRPr="007134D8" w:rsidRDefault="00FD2E40" w:rsidP="007134D8">
            <w:pPr>
              <w:pStyle w:val="Heading1"/>
              <w:spacing w:before="60" w:after="60"/>
              <w:jc w:val="center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Comments and developments</w:t>
            </w:r>
          </w:p>
        </w:tc>
      </w:tr>
      <w:tr w:rsidR="00F512A8" w:rsidRPr="007134D8" w14:paraId="489B308A" w14:textId="77777777" w:rsidTr="00FB0D34">
        <w:tc>
          <w:tcPr>
            <w:tcW w:w="7083" w:type="dxa"/>
          </w:tcPr>
          <w:p w14:paraId="61C0AD26" w14:textId="708C51F7" w:rsidR="00F512A8" w:rsidRPr="007134D8" w:rsidRDefault="006A297C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critical supplies needed to maintain service continuity e.g. PPE, cleaning supplies, food, medication (pharmacotherapy, alcohol maintenance, NRT), injecting equipment</w:t>
            </w:r>
          </w:p>
        </w:tc>
        <w:tc>
          <w:tcPr>
            <w:tcW w:w="3373" w:type="dxa"/>
          </w:tcPr>
          <w:p w14:paraId="37BF7FEB" w14:textId="77777777" w:rsidR="00F512A8" w:rsidRPr="00316C74" w:rsidRDefault="00F512A8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512A8" w:rsidRPr="007134D8" w14:paraId="46E8BF77" w14:textId="77777777" w:rsidTr="00FB0D34">
        <w:tc>
          <w:tcPr>
            <w:tcW w:w="7083" w:type="dxa"/>
          </w:tcPr>
          <w:p w14:paraId="4CF19F86" w14:textId="782ECBCF" w:rsidR="00F512A8" w:rsidRPr="007134D8" w:rsidRDefault="006A297C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Identified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processes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required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for transporting and transitioning people from one service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/site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to another e.g. from IPWU to residential </w:t>
            </w:r>
          </w:p>
        </w:tc>
        <w:tc>
          <w:tcPr>
            <w:tcW w:w="3373" w:type="dxa"/>
          </w:tcPr>
          <w:p w14:paraId="6C81B424" w14:textId="77777777" w:rsidR="00F512A8" w:rsidRPr="00316C74" w:rsidRDefault="00F512A8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512A8" w:rsidRPr="007134D8" w14:paraId="591F5933" w14:textId="77777777" w:rsidTr="00FB0D34">
        <w:tc>
          <w:tcPr>
            <w:tcW w:w="7083" w:type="dxa"/>
          </w:tcPr>
          <w:p w14:paraId="2B32BD5F" w14:textId="65BD3325" w:rsidR="00F512A8" w:rsidRPr="007134D8" w:rsidRDefault="006A297C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 xml:space="preserve">Secured </w:t>
            </w:r>
            <w:r w:rsidR="00BA2ABC">
              <w:rPr>
                <w:rFonts w:ascii="Helvetica" w:hAnsi="Helvetica" w:cs="Helvetica"/>
                <w:color w:val="000000"/>
                <w:lang w:eastAsia="en-AU"/>
              </w:rPr>
              <w:t>expertise from health service providers as necessary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e.g. testing, supporting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on-site isolation and quarantine measures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</w:p>
        </w:tc>
        <w:tc>
          <w:tcPr>
            <w:tcW w:w="3373" w:type="dxa"/>
          </w:tcPr>
          <w:p w14:paraId="5497A846" w14:textId="77777777" w:rsidR="00F512A8" w:rsidRPr="00316C74" w:rsidRDefault="00F512A8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512A8" w:rsidRPr="007134D8" w14:paraId="1C5C3A2C" w14:textId="77777777" w:rsidTr="00FB0D34">
        <w:tc>
          <w:tcPr>
            <w:tcW w:w="7083" w:type="dxa"/>
          </w:tcPr>
          <w:p w14:paraId="289B741A" w14:textId="43B4D11F" w:rsidR="00F512A8" w:rsidRPr="007134D8" w:rsidRDefault="00316C74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Identified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changed 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>priorit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y access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to reduce hospital presentations 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e.g. people with limited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alternative 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>self-isolation options</w:t>
            </w:r>
          </w:p>
        </w:tc>
        <w:tc>
          <w:tcPr>
            <w:tcW w:w="3373" w:type="dxa"/>
          </w:tcPr>
          <w:p w14:paraId="6EC1D02D" w14:textId="77777777" w:rsidR="00F512A8" w:rsidRPr="00316C74" w:rsidRDefault="00F512A8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8F0553" w:rsidRPr="007134D8" w14:paraId="03511AA7" w14:textId="5A691BBB" w:rsidTr="00FB0D34">
        <w:tc>
          <w:tcPr>
            <w:tcW w:w="7083" w:type="dxa"/>
          </w:tcPr>
          <w:p w14:paraId="14224F83" w14:textId="1F812819" w:rsidR="008F0553" w:rsidRPr="007134D8" w:rsidRDefault="005B2DBF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P</w:t>
            </w:r>
            <w:r w:rsidR="008F0553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rocesses for monitoring </w:t>
            </w:r>
            <w:r w:rsidR="00316C74">
              <w:rPr>
                <w:rFonts w:ascii="Helvetica" w:hAnsi="Helvetica" w:cs="Helvetica"/>
                <w:color w:val="000000"/>
                <w:lang w:eastAsia="en-AU"/>
              </w:rPr>
              <w:t>and managing consumer</w:t>
            </w:r>
            <w:r w:rsidR="008F0553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social and emotional wellbeing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</w:p>
        </w:tc>
        <w:tc>
          <w:tcPr>
            <w:tcW w:w="3373" w:type="dxa"/>
          </w:tcPr>
          <w:p w14:paraId="0D59C93A" w14:textId="77777777" w:rsidR="008F0553" w:rsidRPr="00316C74" w:rsidRDefault="008F0553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DC4A90" w:rsidRPr="007134D8" w14:paraId="53FD321B" w14:textId="77777777" w:rsidTr="00FB0D34">
        <w:tc>
          <w:tcPr>
            <w:tcW w:w="7083" w:type="dxa"/>
          </w:tcPr>
          <w:p w14:paraId="7630D9FE" w14:textId="7F72C278" w:rsidR="00DC4A90" w:rsidRDefault="00316C74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P</w:t>
            </w:r>
            <w:r w:rsidR="00DC4A90">
              <w:rPr>
                <w:rFonts w:ascii="Helvetica" w:hAnsi="Helvetica" w:cs="Helvetica"/>
                <w:color w:val="000000"/>
                <w:lang w:eastAsia="en-AU"/>
              </w:rPr>
              <w:t>rocesses for monitoring and responding to changes in consumer needs based on the impact of COVID-19</w:t>
            </w:r>
          </w:p>
        </w:tc>
        <w:tc>
          <w:tcPr>
            <w:tcW w:w="3373" w:type="dxa"/>
          </w:tcPr>
          <w:p w14:paraId="4B27E15B" w14:textId="77777777" w:rsidR="00DC4A90" w:rsidRPr="00316C74" w:rsidRDefault="00DC4A90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7134D8" w:rsidRPr="007134D8" w14:paraId="5DBBB529" w14:textId="77777777" w:rsidTr="00FB0D34">
        <w:tc>
          <w:tcPr>
            <w:tcW w:w="7083" w:type="dxa"/>
          </w:tcPr>
          <w:p w14:paraId="7F5E7263" w14:textId="38EC06FF" w:rsidR="007134D8" w:rsidRPr="007134D8" w:rsidRDefault="007134D8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Communicate</w:t>
            </w:r>
            <w:r w:rsidR="005B2DBF">
              <w:rPr>
                <w:rFonts w:ascii="Helvetica" w:hAnsi="Helvetica" w:cs="Helvetica"/>
                <w:color w:val="000000"/>
                <w:lang w:eastAsia="en-AU"/>
              </w:rPr>
              <w:t>d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  <w:r w:rsidR="00BA2ABC">
              <w:rPr>
                <w:rFonts w:ascii="Helvetica" w:hAnsi="Helvetica" w:cs="Helvetica"/>
                <w:color w:val="000000"/>
                <w:lang w:eastAsia="en-AU"/>
              </w:rPr>
              <w:t xml:space="preserve">organisational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COVID-19 response and changes to service delivery </w:t>
            </w:r>
            <w:r w:rsidR="00BA2ABC">
              <w:rPr>
                <w:rFonts w:ascii="Helvetica" w:hAnsi="Helvetica" w:cs="Helvetica"/>
                <w:color w:val="000000"/>
                <w:lang w:eastAsia="en-AU"/>
              </w:rPr>
              <w:t xml:space="preserve">to workers,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existing consumers and organisation stakeholders</w:t>
            </w:r>
            <w:r w:rsidR="00BA2ABC">
              <w:rPr>
                <w:rFonts w:ascii="Helvetica" w:hAnsi="Helvetica" w:cs="Helvetica"/>
                <w:color w:val="000000"/>
                <w:lang w:eastAsia="en-AU"/>
              </w:rPr>
              <w:t xml:space="preserve"> as relevant</w:t>
            </w:r>
          </w:p>
        </w:tc>
        <w:tc>
          <w:tcPr>
            <w:tcW w:w="3373" w:type="dxa"/>
          </w:tcPr>
          <w:p w14:paraId="655735E6" w14:textId="77777777" w:rsidR="007134D8" w:rsidRPr="00316C74" w:rsidRDefault="007134D8" w:rsidP="00316C74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4D58C0" w:rsidRPr="007134D8" w14:paraId="4409DA3E" w14:textId="77777777" w:rsidTr="004D58C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F4CE569" w14:textId="736A9073" w:rsidR="004D58C0" w:rsidRPr="007134D8" w:rsidRDefault="004D58C0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Barriers/gaps/needs related to risk management</w:t>
            </w:r>
          </w:p>
        </w:tc>
      </w:tr>
      <w:tr w:rsidR="004D58C0" w:rsidRPr="007134D8" w14:paraId="61F4A49D" w14:textId="77777777" w:rsidTr="004D58C0">
        <w:tc>
          <w:tcPr>
            <w:tcW w:w="10456" w:type="dxa"/>
            <w:gridSpan w:val="2"/>
            <w:shd w:val="clear" w:color="auto" w:fill="FFFFFF" w:themeFill="background1"/>
          </w:tcPr>
          <w:p w14:paraId="15A0D97C" w14:textId="6A5B1199" w:rsidR="006A297C" w:rsidRDefault="006A297C" w:rsidP="00E15876">
            <w:pPr>
              <w:spacing w:before="120" w:after="120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 xml:space="preserve">What are the service’s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minimum stock levels for critical supplies required to maintain service continuity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?</w:t>
            </w:r>
          </w:p>
          <w:p w14:paraId="1C11B18A" w14:textId="77777777" w:rsidR="007134D8" w:rsidRDefault="00316C74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Other risk management barriers, gaps or needs?</w:t>
            </w:r>
          </w:p>
          <w:p w14:paraId="7310AE1E" w14:textId="1A4FA4EE" w:rsidR="00E15876" w:rsidRPr="007134D8" w:rsidRDefault="00E15876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Funding needs to support service continuity related to risk management?</w:t>
            </w:r>
          </w:p>
        </w:tc>
      </w:tr>
      <w:tr w:rsidR="004D58C0" w:rsidRPr="007134D8" w14:paraId="14B16D0D" w14:textId="488965F3" w:rsidTr="00FB0D34">
        <w:tc>
          <w:tcPr>
            <w:tcW w:w="7083" w:type="dxa"/>
            <w:shd w:val="clear" w:color="auto" w:fill="D9D9D9" w:themeFill="background1" w:themeFillShade="D9"/>
          </w:tcPr>
          <w:p w14:paraId="7BE82A73" w14:textId="22682C48" w:rsidR="004D58C0" w:rsidRPr="007134D8" w:rsidRDefault="004D58C0" w:rsidP="007134D8">
            <w:pPr>
              <w:pStyle w:val="Heading1"/>
              <w:spacing w:before="60" w:after="60"/>
              <w:outlineLvl w:val="0"/>
              <w:rPr>
                <w:rFonts w:ascii="Helvetica" w:hAnsi="Helvetica" w:cs="Helvetica"/>
                <w:color w:val="000000"/>
                <w:sz w:val="22"/>
                <w:szCs w:val="22"/>
                <w:lang w:eastAsia="en-AU"/>
              </w:rPr>
            </w:pPr>
            <w:r w:rsidRPr="007134D8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Exit planning and continuity of care</w:t>
            </w:r>
            <w:r w:rsidR="00316C74"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 xml:space="preserve"> considerations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5A18F7BD" w14:textId="1635B65E" w:rsidR="004D58C0" w:rsidRPr="007134D8" w:rsidRDefault="00316C74" w:rsidP="007134D8">
            <w:pPr>
              <w:pStyle w:val="Heading1"/>
              <w:spacing w:before="60" w:after="60"/>
              <w:jc w:val="center"/>
              <w:outlineLvl w:val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</w:rPr>
              <w:t>Comments and developments</w:t>
            </w:r>
          </w:p>
        </w:tc>
      </w:tr>
      <w:tr w:rsidR="00F512A8" w:rsidRPr="007134D8" w14:paraId="72A9C008" w14:textId="77777777" w:rsidTr="00FB0D34">
        <w:tc>
          <w:tcPr>
            <w:tcW w:w="7083" w:type="dxa"/>
          </w:tcPr>
          <w:p w14:paraId="35B5E819" w14:textId="2C72CF48" w:rsidR="00F512A8" w:rsidRPr="007134D8" w:rsidRDefault="00316C74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E15876">
              <w:rPr>
                <w:rFonts w:ascii="Helvetica" w:hAnsi="Helvetica" w:cs="Helvetica"/>
                <w:color w:val="000000"/>
                <w:lang w:eastAsia="en-AU"/>
              </w:rPr>
              <w:t>ied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e</w:t>
            </w:r>
            <w:r w:rsidR="00F512A8" w:rsidRPr="007134D8">
              <w:rPr>
                <w:rFonts w:ascii="Helvetica" w:hAnsi="Helvetica" w:cs="Helvetica"/>
                <w:color w:val="000000"/>
                <w:lang w:eastAsia="en-AU"/>
              </w:rPr>
              <w:t>xit/transition options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, and resource support</w:t>
            </w:r>
            <w:r w:rsidR="00E15876">
              <w:rPr>
                <w:rFonts w:ascii="Helvetica" w:hAnsi="Helvetica" w:cs="Helvetica"/>
                <w:color w:val="000000"/>
                <w:lang w:eastAsia="en-AU"/>
              </w:rPr>
              <w:t>s</w:t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 needed, </w:t>
            </w:r>
            <w:r w:rsidR="00E15876">
              <w:rPr>
                <w:rFonts w:ascii="Helvetica" w:hAnsi="Helvetica" w:cs="Helvetica"/>
                <w:color w:val="000000"/>
                <w:lang w:eastAsia="en-AU"/>
              </w:rPr>
              <w:t xml:space="preserve">to </w:t>
            </w:r>
            <w:r>
              <w:rPr>
                <w:rFonts w:ascii="Helvetica" w:hAnsi="Helvetica" w:cs="Helvetica"/>
                <w:color w:val="000000"/>
                <w:lang w:eastAsia="en-AU"/>
              </w:rPr>
              <w:t>maintains consumer and community safety</w:t>
            </w:r>
          </w:p>
        </w:tc>
        <w:tc>
          <w:tcPr>
            <w:tcW w:w="3373" w:type="dxa"/>
          </w:tcPr>
          <w:p w14:paraId="1E95C4C0" w14:textId="77777777" w:rsidR="00F512A8" w:rsidRPr="00E15876" w:rsidRDefault="00F512A8" w:rsidP="00E15876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F512A8" w:rsidRPr="007134D8" w14:paraId="2C82E2E0" w14:textId="77777777" w:rsidTr="00FB0D34">
        <w:tc>
          <w:tcPr>
            <w:tcW w:w="7083" w:type="dxa"/>
          </w:tcPr>
          <w:p w14:paraId="741298CB" w14:textId="3087D135" w:rsidR="00F512A8" w:rsidRPr="007134D8" w:rsidRDefault="00F512A8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color w:val="000000"/>
                <w:lang w:eastAsia="en-AU"/>
              </w:rPr>
              <w:t>Identif</w:t>
            </w:r>
            <w:r w:rsidR="00E15876">
              <w:rPr>
                <w:rFonts w:ascii="Helvetica" w:hAnsi="Helvetica" w:cs="Helvetica"/>
                <w:color w:val="000000"/>
                <w:lang w:eastAsia="en-AU"/>
              </w:rPr>
              <w:t xml:space="preserve">ied </w:t>
            </w:r>
            <w:r w:rsidR="00316C74">
              <w:rPr>
                <w:rFonts w:ascii="Helvetica" w:hAnsi="Helvetica" w:cs="Helvetica"/>
                <w:color w:val="000000"/>
                <w:lang w:eastAsia="en-AU"/>
              </w:rPr>
              <w:t xml:space="preserve">additional 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>options for continu</w:t>
            </w:r>
            <w:r w:rsidR="00316C74">
              <w:rPr>
                <w:rFonts w:ascii="Helvetica" w:hAnsi="Helvetica" w:cs="Helvetica"/>
                <w:color w:val="000000"/>
                <w:lang w:eastAsia="en-AU"/>
              </w:rPr>
              <w:t>ity of care</w:t>
            </w:r>
            <w:r w:rsidRPr="007134D8">
              <w:rPr>
                <w:rFonts w:ascii="Helvetica" w:hAnsi="Helvetica" w:cs="Helvetica"/>
                <w:color w:val="000000"/>
                <w:lang w:eastAsia="en-AU"/>
              </w:rPr>
              <w:t xml:space="preserve"> </w:t>
            </w:r>
          </w:p>
        </w:tc>
        <w:tc>
          <w:tcPr>
            <w:tcW w:w="3373" w:type="dxa"/>
          </w:tcPr>
          <w:p w14:paraId="087C883B" w14:textId="77777777" w:rsidR="00F512A8" w:rsidRPr="00E15876" w:rsidRDefault="00F512A8" w:rsidP="00E15876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</w:p>
        </w:tc>
      </w:tr>
      <w:tr w:rsidR="004D58C0" w:rsidRPr="007134D8" w14:paraId="6A913E6B" w14:textId="77777777" w:rsidTr="004D58C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A66888D" w14:textId="6C21F734" w:rsidR="004D58C0" w:rsidRPr="007134D8" w:rsidRDefault="004D58C0" w:rsidP="007134D8">
            <w:pPr>
              <w:spacing w:before="60" w:after="60" w:line="22" w:lineRule="atLeast"/>
              <w:textAlignment w:val="bottom"/>
              <w:rPr>
                <w:rFonts w:ascii="Helvetica" w:hAnsi="Helvetica" w:cs="Helvetica"/>
                <w:color w:val="000000"/>
                <w:lang w:eastAsia="en-AU"/>
              </w:rPr>
            </w:pPr>
            <w:r w:rsidRPr="007134D8">
              <w:rPr>
                <w:rFonts w:ascii="Helvetica" w:hAnsi="Helvetica" w:cs="Helvetica"/>
                <w:b/>
                <w:bCs/>
                <w:color w:val="000000"/>
                <w:lang w:eastAsia="en-AU"/>
              </w:rPr>
              <w:t>Barriers/gaps/needs related to exit planning and continuity of care</w:t>
            </w:r>
          </w:p>
        </w:tc>
      </w:tr>
      <w:tr w:rsidR="004D58C0" w:rsidRPr="007134D8" w14:paraId="64417D70" w14:textId="77777777" w:rsidTr="004D58C0">
        <w:tc>
          <w:tcPr>
            <w:tcW w:w="10456" w:type="dxa"/>
            <w:gridSpan w:val="2"/>
          </w:tcPr>
          <w:p w14:paraId="416D25AF" w14:textId="77777777" w:rsidR="007134D8" w:rsidRDefault="00316C74" w:rsidP="00E15876">
            <w:pPr>
              <w:spacing w:before="120" w:after="120" w:line="22" w:lineRule="atLeast"/>
              <w:textAlignment w:val="bottom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0000"/>
                <w:lang w:eastAsia="en-AU"/>
              </w:rPr>
              <w:t>Any e</w:t>
            </w:r>
            <w:r w:rsidRPr="00316C74">
              <w:rPr>
                <w:rFonts w:ascii="Helvetica" w:hAnsi="Helvetica" w:cs="Helvetica"/>
                <w:color w:val="000000"/>
                <w:lang w:eastAsia="en-AU"/>
              </w:rPr>
              <w:t xml:space="preserve">xit planning and continuity of care </w:t>
            </w:r>
            <w:r>
              <w:rPr>
                <w:rFonts w:ascii="Helvetica" w:hAnsi="Helvetica" w:cs="Helvetica"/>
              </w:rPr>
              <w:t>barriers, gaps or needs during this crisis?</w:t>
            </w:r>
          </w:p>
          <w:p w14:paraId="60A63B65" w14:textId="7C76F72E" w:rsidR="00E15876" w:rsidRPr="00E15876" w:rsidRDefault="00E15876" w:rsidP="00E15876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Funding needs to support service continuity related to exit planning and continuity of care?</w:t>
            </w:r>
          </w:p>
        </w:tc>
      </w:tr>
    </w:tbl>
    <w:p w14:paraId="7ECD9830" w14:textId="77777777" w:rsidR="006E1D87" w:rsidRDefault="006E1D87"/>
    <w:sectPr w:rsidR="006E1D87" w:rsidSect="006E1D8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555B" w14:textId="77777777" w:rsidR="00C00948" w:rsidRDefault="00C00948" w:rsidP="00612C0B">
      <w:pPr>
        <w:spacing w:after="0" w:line="240" w:lineRule="auto"/>
      </w:pPr>
      <w:r>
        <w:separator/>
      </w:r>
    </w:p>
  </w:endnote>
  <w:endnote w:type="continuationSeparator" w:id="0">
    <w:p w14:paraId="524C549C" w14:textId="77777777" w:rsidR="00C00948" w:rsidRDefault="00C00948" w:rsidP="0061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1CCE" w14:textId="77777777" w:rsidR="00C00948" w:rsidRDefault="00C00948" w:rsidP="00612C0B">
      <w:pPr>
        <w:spacing w:after="0" w:line="240" w:lineRule="auto"/>
      </w:pPr>
      <w:r>
        <w:separator/>
      </w:r>
    </w:p>
  </w:footnote>
  <w:footnote w:type="continuationSeparator" w:id="0">
    <w:p w14:paraId="45D5577E" w14:textId="77777777" w:rsidR="00C00948" w:rsidRDefault="00C00948" w:rsidP="00612C0B">
      <w:pPr>
        <w:spacing w:after="0" w:line="240" w:lineRule="auto"/>
      </w:pPr>
      <w:r>
        <w:continuationSeparator/>
      </w:r>
    </w:p>
  </w:footnote>
  <w:footnote w:id="1">
    <w:p w14:paraId="4AF1FE8B" w14:textId="77777777" w:rsidR="005B2DBF" w:rsidRDefault="005B2DBF" w:rsidP="00612C0B">
      <w:pPr>
        <w:rPr>
          <w:rFonts w:ascii="Helvetica" w:hAnsi="Helvetica" w:cs="Helveti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 w:cs="Helvetica"/>
        </w:rPr>
        <w:t xml:space="preserve">WANADA </w:t>
      </w:r>
      <w:r w:rsidRPr="009804D6">
        <w:rPr>
          <w:rFonts w:ascii="Helvetica" w:hAnsi="Helvetica" w:cs="Helvetica"/>
        </w:rPr>
        <w:t xml:space="preserve">would like to thank Mission Australia for </w:t>
      </w:r>
      <w:r>
        <w:rPr>
          <w:rFonts w:ascii="Helvetica" w:hAnsi="Helvetica" w:cs="Helvetica"/>
        </w:rPr>
        <w:t xml:space="preserve">sharing </w:t>
      </w:r>
      <w:r w:rsidRPr="009804D6">
        <w:rPr>
          <w:rFonts w:ascii="Helvetica" w:hAnsi="Helvetica" w:cs="Helvetica"/>
        </w:rPr>
        <w:t>their template capacity assessment tool to inform this document.</w:t>
      </w:r>
    </w:p>
    <w:p w14:paraId="44866607" w14:textId="221CEE63" w:rsidR="005B2DBF" w:rsidRDefault="005B2DB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7FD9"/>
    <w:multiLevelType w:val="hybridMultilevel"/>
    <w:tmpl w:val="F28A301C"/>
    <w:lvl w:ilvl="0" w:tplc="85C419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57436"/>
    <w:multiLevelType w:val="hybridMultilevel"/>
    <w:tmpl w:val="8A4ABAE0"/>
    <w:lvl w:ilvl="0" w:tplc="13260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F7"/>
    <w:rsid w:val="000104CA"/>
    <w:rsid w:val="00045097"/>
    <w:rsid w:val="000B45F4"/>
    <w:rsid w:val="000E00AC"/>
    <w:rsid w:val="0029305E"/>
    <w:rsid w:val="002C5FB2"/>
    <w:rsid w:val="0031585B"/>
    <w:rsid w:val="00316C74"/>
    <w:rsid w:val="00363A1C"/>
    <w:rsid w:val="0043638A"/>
    <w:rsid w:val="004D58C0"/>
    <w:rsid w:val="00524307"/>
    <w:rsid w:val="00590FE8"/>
    <w:rsid w:val="005B2DBF"/>
    <w:rsid w:val="005F390F"/>
    <w:rsid w:val="00612C0B"/>
    <w:rsid w:val="006A297C"/>
    <w:rsid w:val="006E1D87"/>
    <w:rsid w:val="007134D8"/>
    <w:rsid w:val="0071758F"/>
    <w:rsid w:val="00730AEF"/>
    <w:rsid w:val="00737CCA"/>
    <w:rsid w:val="00764497"/>
    <w:rsid w:val="007B6375"/>
    <w:rsid w:val="008B6AFE"/>
    <w:rsid w:val="008E7EF7"/>
    <w:rsid w:val="008F0553"/>
    <w:rsid w:val="00976434"/>
    <w:rsid w:val="009804D6"/>
    <w:rsid w:val="009937AE"/>
    <w:rsid w:val="009A4B7F"/>
    <w:rsid w:val="009B6DB0"/>
    <w:rsid w:val="009F3927"/>
    <w:rsid w:val="00A12912"/>
    <w:rsid w:val="00AE5102"/>
    <w:rsid w:val="00AF1DB6"/>
    <w:rsid w:val="00BA2ABC"/>
    <w:rsid w:val="00BF3C9E"/>
    <w:rsid w:val="00C00948"/>
    <w:rsid w:val="00CB1A5E"/>
    <w:rsid w:val="00D412BF"/>
    <w:rsid w:val="00DA3DC3"/>
    <w:rsid w:val="00DB1267"/>
    <w:rsid w:val="00DC4A90"/>
    <w:rsid w:val="00DE2B0E"/>
    <w:rsid w:val="00E15876"/>
    <w:rsid w:val="00F512A8"/>
    <w:rsid w:val="00FB0D34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BE49"/>
  <w15:chartTrackingRefBased/>
  <w15:docId w15:val="{54A7B9ED-FBAB-4E61-952C-5D67E788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D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7528-3407-43BD-8AE8-5AA29B0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Wanada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Henson</dc:creator>
  <cp:keywords/>
  <dc:description/>
  <cp:lastModifiedBy>Deanne Ferris</cp:lastModifiedBy>
  <cp:revision>2</cp:revision>
  <dcterms:created xsi:type="dcterms:W3CDTF">2020-03-31T09:38:00Z</dcterms:created>
  <dcterms:modified xsi:type="dcterms:W3CDTF">2020-03-31T09:38:00Z</dcterms:modified>
</cp:coreProperties>
</file>